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7CF6DB" w14:textId="77777777" w:rsidR="001A4097" w:rsidRPr="001A4097" w:rsidRDefault="001A4097">
      <w:pPr>
        <w:pBdr>
          <w:top w:val="nil"/>
          <w:left w:val="nil"/>
          <w:bottom w:val="nil"/>
          <w:right w:val="nil"/>
          <w:between w:val="nil"/>
        </w:pBdr>
        <w:jc w:val="center"/>
        <w:rPr>
          <w:rFonts w:ascii="Times New Roman" w:eastAsia="Times New Roman" w:hAnsi="Times New Roman" w:cs="Times New Roman"/>
          <w:b/>
          <w:color w:val="000000"/>
          <w:sz w:val="24"/>
          <w:szCs w:val="24"/>
        </w:rPr>
      </w:pPr>
      <w:bookmarkStart w:id="0" w:name="_GoBack"/>
      <w:bookmarkEnd w:id="0"/>
    </w:p>
    <w:p w14:paraId="0C049FEF" w14:textId="77777777" w:rsidR="001A4097" w:rsidRPr="001A4097" w:rsidRDefault="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27D025C3" w14:textId="77777777" w:rsidR="001A4097" w:rsidRPr="001A4097" w:rsidRDefault="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05BC13E7" w14:textId="77777777" w:rsidR="001A4097" w:rsidRPr="001A4097" w:rsidRDefault="001A4097" w:rsidP="001A4097">
      <w:pPr>
        <w:jc w:val="center"/>
        <w:rPr>
          <w:rFonts w:ascii="Times New Roman" w:eastAsia="Times New Roman" w:hAnsi="Times New Roman" w:cs="Times New Roman"/>
          <w:sz w:val="24"/>
          <w:szCs w:val="24"/>
        </w:rPr>
      </w:pPr>
      <w:r w:rsidRPr="001A4097">
        <w:rPr>
          <w:rFonts w:ascii="Times New Roman" w:eastAsia="Times New Roman" w:hAnsi="Times New Roman" w:cs="Times New Roman"/>
          <w:b/>
          <w:sz w:val="24"/>
          <w:szCs w:val="24"/>
        </w:rPr>
        <w:t>MEMORANDO</w:t>
      </w:r>
    </w:p>
    <w:p w14:paraId="1B543C5E" w14:textId="77777777" w:rsidR="001A4097" w:rsidRPr="001A4097" w:rsidRDefault="001A4097" w:rsidP="001A4097">
      <w:pPr>
        <w:jc w:val="center"/>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 </w:t>
      </w:r>
      <w:r w:rsidRPr="001A4097">
        <w:rPr>
          <w:rFonts w:ascii="Times New Roman" w:eastAsia="Times New Roman" w:hAnsi="Times New Roman" w:cs="Times New Roman"/>
          <w:sz w:val="24"/>
          <w:szCs w:val="24"/>
        </w:rPr>
        <w:tab/>
      </w:r>
      <w:r w:rsidRPr="001A4097">
        <w:rPr>
          <w:rFonts w:ascii="Times New Roman" w:eastAsia="Times New Roman" w:hAnsi="Times New Roman" w:cs="Times New Roman"/>
          <w:sz w:val="24"/>
          <w:szCs w:val="24"/>
        </w:rPr>
        <w:tab/>
      </w:r>
    </w:p>
    <w:p w14:paraId="099CA583" w14:textId="77777777" w:rsidR="001A4097" w:rsidRPr="001A4097" w:rsidRDefault="001A4097" w:rsidP="001A4097">
      <w:pPr>
        <w:jc w:val="center"/>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 </w:t>
      </w:r>
    </w:p>
    <w:p w14:paraId="59865161" w14:textId="77777777" w:rsidR="001A4097" w:rsidRPr="001A4097" w:rsidRDefault="001A4097" w:rsidP="001A4097">
      <w:pPr>
        <w:jc w:val="center"/>
        <w:rPr>
          <w:rFonts w:ascii="Times New Roman" w:eastAsia="Times New Roman" w:hAnsi="Times New Roman" w:cs="Times New Roman"/>
          <w:sz w:val="24"/>
          <w:szCs w:val="24"/>
        </w:rPr>
      </w:pPr>
    </w:p>
    <w:p w14:paraId="10ECD853" w14:textId="77777777" w:rsidR="001A4097" w:rsidRPr="001A4097" w:rsidRDefault="001A4097" w:rsidP="001A4097">
      <w:pPr>
        <w:rPr>
          <w:rFonts w:ascii="Times New Roman" w:eastAsia="Times New Roman" w:hAnsi="Times New Roman" w:cs="Times New Roman"/>
          <w:sz w:val="24"/>
          <w:szCs w:val="24"/>
        </w:rPr>
      </w:pPr>
      <w:r w:rsidRPr="001A4097">
        <w:rPr>
          <w:rFonts w:ascii="Times New Roman" w:eastAsia="Times New Roman" w:hAnsi="Times New Roman" w:cs="Times New Roman"/>
          <w:b/>
          <w:sz w:val="24"/>
          <w:szCs w:val="24"/>
        </w:rPr>
        <w:t>PARA</w:t>
      </w:r>
      <w:r w:rsidRPr="001A4097">
        <w:rPr>
          <w:rFonts w:ascii="Times New Roman" w:eastAsia="Times New Roman" w:hAnsi="Times New Roman" w:cs="Times New Roman"/>
          <w:sz w:val="24"/>
          <w:szCs w:val="24"/>
        </w:rPr>
        <w:t xml:space="preserve">:        </w:t>
      </w:r>
      <w:r w:rsidRPr="001A4097">
        <w:rPr>
          <w:rFonts w:ascii="Times New Roman" w:eastAsia="Times New Roman" w:hAnsi="Times New Roman" w:cs="Times New Roman"/>
          <w:sz w:val="24"/>
          <w:szCs w:val="24"/>
        </w:rPr>
        <w:tab/>
        <w:t xml:space="preserve"> LUZ ANGÉLICA VIZCAINO   </w:t>
      </w:r>
    </w:p>
    <w:p w14:paraId="693392B6" w14:textId="2D601B73" w:rsidR="001A4097" w:rsidRPr="001A4097" w:rsidRDefault="001A4097" w:rsidP="001A4097">
      <w:pPr>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 xml:space="preserve">                          Secretaria General  </w:t>
      </w:r>
      <w:r w:rsidRPr="001A4097">
        <w:rPr>
          <w:rFonts w:ascii="Times New Roman" w:eastAsia="Times New Roman" w:hAnsi="Times New Roman" w:cs="Times New Roman"/>
          <w:sz w:val="24"/>
          <w:szCs w:val="24"/>
        </w:rPr>
        <w:tab/>
      </w:r>
    </w:p>
    <w:p w14:paraId="7A90308C" w14:textId="77777777" w:rsidR="001A4097" w:rsidRPr="001A4097" w:rsidRDefault="001A4097" w:rsidP="001A4097">
      <w:pPr>
        <w:jc w:val="center"/>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                 </w:t>
      </w:r>
      <w:r w:rsidRPr="001A4097">
        <w:rPr>
          <w:rFonts w:ascii="Times New Roman" w:eastAsia="Times New Roman" w:hAnsi="Times New Roman" w:cs="Times New Roman"/>
          <w:sz w:val="24"/>
          <w:szCs w:val="24"/>
        </w:rPr>
        <w:tab/>
        <w:t>   </w:t>
      </w:r>
    </w:p>
    <w:p w14:paraId="08A3624C" w14:textId="77777777" w:rsidR="001A4097" w:rsidRPr="001A4097" w:rsidRDefault="001A4097" w:rsidP="001A4097">
      <w:pPr>
        <w:jc w:val="center"/>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 </w:t>
      </w:r>
    </w:p>
    <w:p w14:paraId="7EFEC5C3" w14:textId="77777777" w:rsidR="001A4097" w:rsidRPr="001A4097" w:rsidRDefault="001A4097" w:rsidP="001A4097">
      <w:pPr>
        <w:rPr>
          <w:rFonts w:ascii="Times New Roman" w:eastAsia="Times New Roman" w:hAnsi="Times New Roman" w:cs="Times New Roman"/>
          <w:sz w:val="24"/>
          <w:szCs w:val="24"/>
        </w:rPr>
      </w:pPr>
      <w:r w:rsidRPr="001A4097">
        <w:rPr>
          <w:rFonts w:ascii="Times New Roman" w:eastAsia="Times New Roman" w:hAnsi="Times New Roman" w:cs="Times New Roman"/>
          <w:b/>
          <w:sz w:val="24"/>
          <w:szCs w:val="24"/>
        </w:rPr>
        <w:t>DE</w:t>
      </w:r>
      <w:r w:rsidRPr="001A4097">
        <w:rPr>
          <w:rFonts w:ascii="Times New Roman" w:eastAsia="Times New Roman" w:hAnsi="Times New Roman" w:cs="Times New Roman"/>
          <w:sz w:val="24"/>
          <w:szCs w:val="24"/>
        </w:rPr>
        <w:t xml:space="preserve">:             </w:t>
      </w:r>
      <w:r w:rsidRPr="001A4097">
        <w:rPr>
          <w:rFonts w:ascii="Times New Roman" w:eastAsia="Times New Roman" w:hAnsi="Times New Roman" w:cs="Times New Roman"/>
          <w:sz w:val="24"/>
          <w:szCs w:val="24"/>
        </w:rPr>
        <w:tab/>
        <w:t>H.C. JULIÁN USCÁTEGUI PASTRANA</w:t>
      </w:r>
    </w:p>
    <w:p w14:paraId="0EF5C6F9" w14:textId="77777777" w:rsidR="001A4097" w:rsidRPr="001A4097" w:rsidRDefault="001A4097" w:rsidP="001A4097">
      <w:pPr>
        <w:jc w:val="center"/>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 </w:t>
      </w:r>
    </w:p>
    <w:p w14:paraId="05DEFF20" w14:textId="55C46141" w:rsidR="001A4097" w:rsidRPr="001A4097" w:rsidRDefault="001A4097" w:rsidP="001A4097">
      <w:pPr>
        <w:rPr>
          <w:rFonts w:ascii="Times New Roman" w:eastAsia="Times New Roman" w:hAnsi="Times New Roman" w:cs="Times New Roman"/>
          <w:sz w:val="24"/>
          <w:szCs w:val="24"/>
        </w:rPr>
      </w:pPr>
      <w:r w:rsidRPr="001A4097">
        <w:rPr>
          <w:rFonts w:ascii="Times New Roman" w:eastAsia="Times New Roman" w:hAnsi="Times New Roman" w:cs="Times New Roman"/>
          <w:b/>
          <w:sz w:val="24"/>
          <w:szCs w:val="24"/>
        </w:rPr>
        <w:t>ASUNTO:</w:t>
      </w:r>
      <w:r w:rsidRPr="001A4097">
        <w:rPr>
          <w:rFonts w:ascii="Times New Roman" w:eastAsia="Times New Roman" w:hAnsi="Times New Roman" w:cs="Times New Roman"/>
          <w:sz w:val="24"/>
          <w:szCs w:val="24"/>
        </w:rPr>
        <w:t xml:space="preserve">  </w:t>
      </w:r>
      <w:r w:rsidRPr="001A4097">
        <w:rPr>
          <w:rFonts w:ascii="Times New Roman" w:eastAsia="Times New Roman" w:hAnsi="Times New Roman" w:cs="Times New Roman"/>
          <w:sz w:val="24"/>
          <w:szCs w:val="24"/>
        </w:rPr>
        <w:tab/>
        <w:t>Presentación Proyecto de</w:t>
      </w:r>
      <w:r w:rsidR="0031412A">
        <w:rPr>
          <w:rFonts w:ascii="Times New Roman" w:eastAsia="Times New Roman" w:hAnsi="Times New Roman" w:cs="Times New Roman"/>
          <w:sz w:val="24"/>
          <w:szCs w:val="24"/>
        </w:rPr>
        <w:t xml:space="preserve"> Acuerdo No. ____________de 2025</w:t>
      </w:r>
      <w:r w:rsidRPr="001A4097">
        <w:rPr>
          <w:rFonts w:ascii="Times New Roman" w:eastAsia="Times New Roman" w:hAnsi="Times New Roman" w:cs="Times New Roman"/>
          <w:sz w:val="24"/>
          <w:szCs w:val="24"/>
        </w:rPr>
        <w:t>.</w:t>
      </w:r>
    </w:p>
    <w:p w14:paraId="56EE18BC" w14:textId="77777777" w:rsidR="001A4097" w:rsidRPr="001A4097" w:rsidRDefault="001A4097" w:rsidP="001A4097">
      <w:pPr>
        <w:rPr>
          <w:rFonts w:ascii="Times New Roman" w:eastAsia="Times New Roman" w:hAnsi="Times New Roman" w:cs="Times New Roman"/>
          <w:sz w:val="24"/>
          <w:szCs w:val="24"/>
        </w:rPr>
      </w:pPr>
    </w:p>
    <w:p w14:paraId="0737C149" w14:textId="77777777" w:rsidR="001A4097" w:rsidRPr="001A4097" w:rsidRDefault="001A4097" w:rsidP="001A4097">
      <w:pPr>
        <w:ind w:left="1420" w:hanging="1420"/>
        <w:jc w:val="center"/>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 </w:t>
      </w:r>
    </w:p>
    <w:p w14:paraId="00FED0F6" w14:textId="152AFE07" w:rsidR="001A4097" w:rsidRPr="001A4097" w:rsidRDefault="001A4097" w:rsidP="001A4097">
      <w:pPr>
        <w:jc w:val="both"/>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Apreciad</w:t>
      </w:r>
      <w:r w:rsidR="00C21CFC">
        <w:rPr>
          <w:rFonts w:ascii="Times New Roman" w:eastAsia="Times New Roman" w:hAnsi="Times New Roman" w:cs="Times New Roman"/>
          <w:sz w:val="24"/>
          <w:szCs w:val="24"/>
        </w:rPr>
        <w:t>a</w:t>
      </w:r>
      <w:r w:rsidRPr="001A4097">
        <w:rPr>
          <w:rFonts w:ascii="Times New Roman" w:eastAsia="Times New Roman" w:hAnsi="Times New Roman" w:cs="Times New Roman"/>
          <w:sz w:val="24"/>
          <w:szCs w:val="24"/>
        </w:rPr>
        <w:t xml:space="preserve"> Dr</w:t>
      </w:r>
      <w:r w:rsidR="00C21CFC">
        <w:rPr>
          <w:rFonts w:ascii="Times New Roman" w:eastAsia="Times New Roman" w:hAnsi="Times New Roman" w:cs="Times New Roman"/>
          <w:sz w:val="24"/>
          <w:szCs w:val="24"/>
        </w:rPr>
        <w:t>a</w:t>
      </w:r>
      <w:r w:rsidRPr="001A4097">
        <w:rPr>
          <w:rFonts w:ascii="Times New Roman" w:eastAsia="Times New Roman" w:hAnsi="Times New Roman" w:cs="Times New Roman"/>
          <w:sz w:val="24"/>
          <w:szCs w:val="24"/>
        </w:rPr>
        <w:t xml:space="preserve">. </w:t>
      </w:r>
      <w:r w:rsidR="00C21CFC">
        <w:rPr>
          <w:rFonts w:ascii="Times New Roman" w:eastAsia="Times New Roman" w:hAnsi="Times New Roman" w:cs="Times New Roman"/>
          <w:sz w:val="24"/>
          <w:szCs w:val="24"/>
        </w:rPr>
        <w:t>Vizcaino</w:t>
      </w:r>
      <w:r w:rsidRPr="001A4097">
        <w:rPr>
          <w:rFonts w:ascii="Times New Roman" w:eastAsia="Times New Roman" w:hAnsi="Times New Roman" w:cs="Times New Roman"/>
          <w:sz w:val="24"/>
          <w:szCs w:val="24"/>
        </w:rPr>
        <w:t>,</w:t>
      </w:r>
    </w:p>
    <w:p w14:paraId="4AA30CC3" w14:textId="77777777" w:rsidR="001A4097" w:rsidRPr="001A4097" w:rsidRDefault="001A4097" w:rsidP="001A4097">
      <w:pPr>
        <w:jc w:val="both"/>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 </w:t>
      </w:r>
    </w:p>
    <w:p w14:paraId="6C2D72CC" w14:textId="3DA92ECC" w:rsidR="001A4097" w:rsidRPr="001A4097" w:rsidRDefault="001A4097" w:rsidP="001A4097">
      <w:pPr>
        <w:jc w:val="both"/>
        <w:rPr>
          <w:rFonts w:ascii="Times New Roman" w:eastAsia="Times New Roman" w:hAnsi="Times New Roman" w:cs="Times New Roman"/>
          <w:i/>
          <w:sz w:val="24"/>
          <w:szCs w:val="24"/>
        </w:rPr>
      </w:pPr>
      <w:r w:rsidRPr="001A4097">
        <w:rPr>
          <w:rFonts w:ascii="Times New Roman" w:eastAsia="Times New Roman" w:hAnsi="Times New Roman" w:cs="Times New Roman"/>
          <w:sz w:val="24"/>
          <w:szCs w:val="24"/>
        </w:rPr>
        <w:t xml:space="preserve">Reciba un cordial saludo. De conformidad con lo señalado en los Artículos 66 y 67 del Acuerdo 741 de 2019, de manera atenta, me permito radicar en medio magnético e impreso, ante su despacho el Proyecto de Acuerdo </w:t>
      </w:r>
      <w:r w:rsidRPr="001A4097">
        <w:rPr>
          <w:rFonts w:ascii="Times New Roman" w:eastAsia="Times New Roman" w:hAnsi="Times New Roman" w:cs="Times New Roman"/>
          <w:i/>
          <w:sz w:val="24"/>
          <w:szCs w:val="24"/>
        </w:rPr>
        <w:t>"Por medio del cual se promueve la seguridad en las copropiedades sujetas al régimen de propiedad horizontal en el Distrito Capital"</w:t>
      </w:r>
    </w:p>
    <w:p w14:paraId="2699FF3C" w14:textId="77777777" w:rsidR="001A4097" w:rsidRPr="001A4097" w:rsidRDefault="001A4097" w:rsidP="001A4097">
      <w:pPr>
        <w:jc w:val="both"/>
        <w:rPr>
          <w:rFonts w:ascii="Times New Roman" w:eastAsia="Times New Roman" w:hAnsi="Times New Roman" w:cs="Times New Roman"/>
          <w:sz w:val="24"/>
          <w:szCs w:val="24"/>
        </w:rPr>
      </w:pPr>
    </w:p>
    <w:p w14:paraId="7CE175D6" w14:textId="77777777" w:rsidR="001A4097" w:rsidRPr="001A4097" w:rsidRDefault="001A4097" w:rsidP="001A4097">
      <w:pPr>
        <w:jc w:val="both"/>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 </w:t>
      </w:r>
    </w:p>
    <w:p w14:paraId="70729929" w14:textId="77777777" w:rsidR="001A4097" w:rsidRPr="001A4097" w:rsidRDefault="001A4097" w:rsidP="001A4097">
      <w:pPr>
        <w:jc w:val="both"/>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Agradezco su amable gestión.</w:t>
      </w:r>
    </w:p>
    <w:p w14:paraId="776AB500" w14:textId="77777777" w:rsidR="001A4097" w:rsidRPr="001A4097" w:rsidRDefault="001A4097" w:rsidP="001A4097">
      <w:pPr>
        <w:jc w:val="both"/>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 </w:t>
      </w:r>
    </w:p>
    <w:p w14:paraId="53AEAB9F" w14:textId="77777777" w:rsidR="001A4097" w:rsidRPr="001A4097" w:rsidRDefault="001A4097" w:rsidP="001A4097">
      <w:pPr>
        <w:jc w:val="both"/>
        <w:rPr>
          <w:rFonts w:ascii="Times New Roman" w:eastAsia="Times New Roman" w:hAnsi="Times New Roman" w:cs="Times New Roman"/>
          <w:sz w:val="24"/>
          <w:szCs w:val="24"/>
        </w:rPr>
      </w:pPr>
    </w:p>
    <w:p w14:paraId="6EFADEE1" w14:textId="57B86307" w:rsidR="001A4097" w:rsidRPr="001A4097" w:rsidRDefault="001A4097" w:rsidP="001A4097">
      <w:pPr>
        <w:jc w:val="both"/>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Cordialmente,</w:t>
      </w:r>
    </w:p>
    <w:p w14:paraId="29456210" w14:textId="4C41AA82" w:rsidR="001A4097" w:rsidRPr="001A4097" w:rsidRDefault="001A4097" w:rsidP="001A4097">
      <w:pPr>
        <w:spacing w:after="240"/>
        <w:rPr>
          <w:rFonts w:ascii="Times New Roman" w:eastAsia="Times New Roman" w:hAnsi="Times New Roman" w:cs="Times New Roman"/>
          <w:sz w:val="24"/>
          <w:szCs w:val="24"/>
        </w:rPr>
      </w:pPr>
      <w:r w:rsidRPr="001A4097">
        <w:rPr>
          <w:rFonts w:ascii="Times New Roman" w:eastAsia="Times New Roman" w:hAnsi="Times New Roman" w:cs="Times New Roman"/>
          <w:color w:val="000000"/>
          <w:sz w:val="24"/>
          <w:szCs w:val="24"/>
        </w:rPr>
        <w:br/>
      </w:r>
      <w:r w:rsidRPr="001A4097">
        <w:rPr>
          <w:rFonts w:ascii="Times New Roman" w:eastAsia="Times New Roman" w:hAnsi="Times New Roman" w:cs="Times New Roman"/>
          <w:color w:val="000000"/>
          <w:sz w:val="24"/>
          <w:szCs w:val="24"/>
        </w:rPr>
        <w:br/>
      </w:r>
    </w:p>
    <w:p w14:paraId="65CFD142" w14:textId="77777777" w:rsidR="001A4097" w:rsidRPr="001A4097" w:rsidRDefault="001A4097" w:rsidP="001A4097">
      <w:pPr>
        <w:jc w:val="both"/>
        <w:rPr>
          <w:rFonts w:ascii="Times New Roman" w:eastAsia="Times New Roman" w:hAnsi="Times New Roman" w:cs="Times New Roman"/>
          <w:sz w:val="24"/>
          <w:szCs w:val="24"/>
        </w:rPr>
      </w:pPr>
      <w:r w:rsidRPr="001A4097">
        <w:rPr>
          <w:rFonts w:ascii="Times New Roman" w:eastAsia="Times New Roman" w:hAnsi="Times New Roman" w:cs="Times New Roman"/>
          <w:b/>
          <w:sz w:val="24"/>
          <w:szCs w:val="24"/>
        </w:rPr>
        <w:t>JULIÁN USCÁTEGUI PASTRANA</w:t>
      </w:r>
    </w:p>
    <w:p w14:paraId="709BBBD2" w14:textId="77777777" w:rsidR="001A4097" w:rsidRPr="001A4097" w:rsidRDefault="001A4097" w:rsidP="001A4097">
      <w:pPr>
        <w:jc w:val="both"/>
        <w:rPr>
          <w:rFonts w:ascii="Times New Roman" w:eastAsia="Times New Roman" w:hAnsi="Times New Roman" w:cs="Times New Roman"/>
          <w:sz w:val="24"/>
          <w:szCs w:val="24"/>
        </w:rPr>
      </w:pPr>
      <w:r w:rsidRPr="001A4097">
        <w:rPr>
          <w:rFonts w:ascii="Times New Roman" w:eastAsia="Times New Roman" w:hAnsi="Times New Roman" w:cs="Times New Roman"/>
          <w:sz w:val="24"/>
          <w:szCs w:val="24"/>
        </w:rPr>
        <w:t>Concejal de Bogotá, D.C.</w:t>
      </w:r>
    </w:p>
    <w:p w14:paraId="2181683E" w14:textId="77777777" w:rsidR="001A4097" w:rsidRPr="001A4097" w:rsidRDefault="001A4097" w:rsidP="001A4097">
      <w:pPr>
        <w:ind w:left="1400" w:hanging="700"/>
        <w:jc w:val="center"/>
        <w:rPr>
          <w:rFonts w:ascii="Times New Roman" w:eastAsia="Times New Roman" w:hAnsi="Times New Roman" w:cs="Times New Roman"/>
          <w:b/>
          <w:sz w:val="24"/>
          <w:szCs w:val="24"/>
        </w:rPr>
      </w:pPr>
    </w:p>
    <w:p w14:paraId="3D13A756" w14:textId="77777777" w:rsidR="001A4097" w:rsidRPr="001A4097" w:rsidRDefault="001A4097"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55AF399C" w14:textId="77777777" w:rsidR="001A4097" w:rsidRDefault="001A4097"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040F74F0" w14:textId="77777777" w:rsidR="001A4097" w:rsidRDefault="001A4097"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57803C54" w14:textId="77777777" w:rsidR="001A4097" w:rsidRDefault="001A4097"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5FDBEABE" w14:textId="77777777" w:rsidR="001A4097" w:rsidRDefault="001A4097"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54F6C3D9" w14:textId="77777777" w:rsidR="001A4097" w:rsidRDefault="001A4097"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17741759" w14:textId="77777777" w:rsidR="001A4097" w:rsidRDefault="001A4097"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1BE10ACD" w14:textId="77777777" w:rsidR="001A4097" w:rsidRDefault="001A4097"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7B87882C" w14:textId="77777777" w:rsidR="001A4097" w:rsidRDefault="001A4097" w:rsidP="00D11436">
      <w:pPr>
        <w:pBdr>
          <w:top w:val="nil"/>
          <w:left w:val="nil"/>
          <w:bottom w:val="nil"/>
          <w:right w:val="nil"/>
          <w:between w:val="nil"/>
        </w:pBdr>
        <w:rPr>
          <w:rFonts w:ascii="Times New Roman" w:eastAsia="Times New Roman" w:hAnsi="Times New Roman" w:cs="Times New Roman"/>
          <w:b/>
          <w:color w:val="000000"/>
          <w:sz w:val="24"/>
          <w:szCs w:val="24"/>
        </w:rPr>
      </w:pPr>
    </w:p>
    <w:p w14:paraId="4B875701" w14:textId="77777777" w:rsidR="001A4097" w:rsidRDefault="001A4097" w:rsidP="001A4097">
      <w:pPr>
        <w:pBdr>
          <w:top w:val="nil"/>
          <w:left w:val="nil"/>
          <w:bottom w:val="nil"/>
          <w:right w:val="nil"/>
          <w:between w:val="nil"/>
        </w:pBdr>
        <w:rPr>
          <w:rFonts w:ascii="Times New Roman" w:eastAsia="Times New Roman" w:hAnsi="Times New Roman" w:cs="Times New Roman"/>
          <w:b/>
          <w:color w:val="000000"/>
          <w:sz w:val="24"/>
          <w:szCs w:val="24"/>
        </w:rPr>
      </w:pPr>
    </w:p>
    <w:p w14:paraId="09BCDC68" w14:textId="3ECCF44C" w:rsidR="00CE674C" w:rsidRDefault="00622F75"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PROY</w:t>
      </w:r>
      <w:r w:rsidR="0031412A">
        <w:rPr>
          <w:rFonts w:ascii="Times New Roman" w:eastAsia="Times New Roman" w:hAnsi="Times New Roman" w:cs="Times New Roman"/>
          <w:b/>
          <w:color w:val="000000"/>
          <w:sz w:val="24"/>
          <w:szCs w:val="24"/>
        </w:rPr>
        <w:t>ECTO DE ACUERDO No. ____ DE 2025</w:t>
      </w:r>
      <w:r>
        <w:rPr>
          <w:rFonts w:ascii="Times New Roman" w:eastAsia="Times New Roman" w:hAnsi="Times New Roman" w:cs="Times New Roman"/>
          <w:b/>
          <w:color w:val="000000"/>
          <w:sz w:val="24"/>
          <w:szCs w:val="24"/>
        </w:rPr>
        <w:t xml:space="preserve"> </w:t>
      </w:r>
    </w:p>
    <w:p w14:paraId="2D6030C3" w14:textId="77777777" w:rsidR="00CE674C" w:rsidRDefault="00CE674C"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5E3B7E68" w14:textId="77777777" w:rsidR="00CE674C" w:rsidRDefault="00622F75"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w:t>
      </w:r>
      <w:r>
        <w:rPr>
          <w:rFonts w:ascii="Times New Roman" w:eastAsia="Times New Roman" w:hAnsi="Times New Roman" w:cs="Times New Roman"/>
          <w:b/>
          <w:sz w:val="24"/>
          <w:szCs w:val="24"/>
        </w:rPr>
        <w:t>POR MEDIO DEL CUAL SE PROMUEVE LA SEGURIDAD EN LAS COPROPIEDADES SUJETAS AL RÉGIMEN DE PROPIEDAD HORIZONTAL EN EL DISTRITO CAPITAL</w:t>
      </w:r>
      <w:r>
        <w:rPr>
          <w:rFonts w:ascii="Times New Roman" w:eastAsia="Times New Roman" w:hAnsi="Times New Roman" w:cs="Times New Roman"/>
          <w:b/>
          <w:color w:val="000000"/>
          <w:sz w:val="24"/>
          <w:szCs w:val="24"/>
        </w:rPr>
        <w:t xml:space="preserve">” </w:t>
      </w:r>
    </w:p>
    <w:p w14:paraId="2B6D4642" w14:textId="77777777" w:rsidR="00CE674C" w:rsidRDefault="00CE674C"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1A2D09BA" w14:textId="77777777" w:rsidR="00CE674C" w:rsidRDefault="00CE674C"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4CDADD71" w14:textId="77777777" w:rsidR="00CE674C" w:rsidRDefault="00622F75"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EXPOSICIÓN DE MOTIVOS. </w:t>
      </w:r>
    </w:p>
    <w:p w14:paraId="036E0CB9" w14:textId="77777777" w:rsidR="00CE674C" w:rsidRDefault="00CE674C" w:rsidP="001A4097">
      <w:pPr>
        <w:pBdr>
          <w:top w:val="nil"/>
          <w:left w:val="nil"/>
          <w:bottom w:val="nil"/>
          <w:right w:val="nil"/>
          <w:between w:val="nil"/>
        </w:pBdr>
        <w:jc w:val="center"/>
        <w:rPr>
          <w:rFonts w:ascii="Times New Roman" w:eastAsia="Times New Roman" w:hAnsi="Times New Roman" w:cs="Times New Roman"/>
          <w:b/>
          <w:color w:val="000000"/>
          <w:sz w:val="24"/>
          <w:szCs w:val="24"/>
        </w:rPr>
      </w:pPr>
    </w:p>
    <w:p w14:paraId="2FEAD26D" w14:textId="77777777" w:rsidR="00CE674C" w:rsidRDefault="00622F75" w:rsidP="001A4097">
      <w:pPr>
        <w:numPr>
          <w:ilvl w:val="0"/>
          <w:numId w:val="2"/>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OBJETO DEL PROYECTO DE ACUERDO</w:t>
      </w:r>
    </w:p>
    <w:p w14:paraId="5E97626F" w14:textId="77777777" w:rsidR="00CE674C" w:rsidRDefault="00CE674C">
      <w:pPr>
        <w:pBdr>
          <w:top w:val="nil"/>
          <w:left w:val="nil"/>
          <w:bottom w:val="nil"/>
          <w:right w:val="nil"/>
          <w:between w:val="nil"/>
        </w:pBdr>
        <w:ind w:left="720"/>
        <w:rPr>
          <w:rFonts w:ascii="Times New Roman" w:eastAsia="Times New Roman" w:hAnsi="Times New Roman" w:cs="Times New Roman"/>
          <w:b/>
          <w:color w:val="000000"/>
          <w:sz w:val="24"/>
          <w:szCs w:val="24"/>
        </w:rPr>
      </w:pPr>
    </w:p>
    <w:p w14:paraId="70A8170F" w14:textId="77777777" w:rsidR="00CE674C" w:rsidRDefault="00622F7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El presente acuerdo tiene como objeto establecer medidas para promover y garantizar la seguridad en las copropiedades sujetas al régimen de propiedad horizontal en el Distrito Capital, con el fin de mejorar la protección de los residentes y sus bienes. </w:t>
      </w:r>
    </w:p>
    <w:p w14:paraId="7B899960" w14:textId="77777777" w:rsidR="00CE674C" w:rsidRDefault="00CE674C">
      <w:pPr>
        <w:pBdr>
          <w:top w:val="nil"/>
          <w:left w:val="nil"/>
          <w:bottom w:val="nil"/>
          <w:right w:val="nil"/>
          <w:between w:val="nil"/>
        </w:pBdr>
        <w:rPr>
          <w:rFonts w:ascii="Times New Roman" w:eastAsia="Times New Roman" w:hAnsi="Times New Roman" w:cs="Times New Roman"/>
          <w:color w:val="000000"/>
          <w:sz w:val="24"/>
          <w:szCs w:val="24"/>
        </w:rPr>
      </w:pPr>
    </w:p>
    <w:p w14:paraId="68CDECB0" w14:textId="77777777" w:rsidR="00CE674C" w:rsidRDefault="00622F75">
      <w:pPr>
        <w:numPr>
          <w:ilvl w:val="0"/>
          <w:numId w:val="2"/>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SUSTENTO JURÍDICO DE LA INICIATIVA</w:t>
      </w:r>
    </w:p>
    <w:p w14:paraId="3EFDFCAC" w14:textId="77777777" w:rsidR="00CE674C" w:rsidRDefault="00CE674C">
      <w:pPr>
        <w:pBdr>
          <w:top w:val="nil"/>
          <w:left w:val="nil"/>
          <w:bottom w:val="nil"/>
          <w:right w:val="nil"/>
          <w:between w:val="nil"/>
        </w:pBdr>
        <w:ind w:left="720"/>
        <w:jc w:val="both"/>
        <w:rPr>
          <w:rFonts w:ascii="Times New Roman" w:eastAsia="Times New Roman" w:hAnsi="Times New Roman" w:cs="Times New Roman"/>
          <w:b/>
          <w:color w:val="000000"/>
          <w:sz w:val="24"/>
          <w:szCs w:val="24"/>
        </w:rPr>
      </w:pPr>
    </w:p>
    <w:p w14:paraId="30D31911" w14:textId="77777777" w:rsidR="00CE674C" w:rsidRDefault="00622F75">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 presente Proyecto de Acuerdo se encuentra fundamentado en las siguientes disposiciones jurídicas: </w:t>
      </w:r>
    </w:p>
    <w:p w14:paraId="2D757F10" w14:textId="77777777" w:rsidR="00CE674C" w:rsidRDefault="00CE674C">
      <w:pPr>
        <w:jc w:val="both"/>
        <w:rPr>
          <w:rFonts w:ascii="Times New Roman" w:eastAsia="Times New Roman" w:hAnsi="Times New Roman" w:cs="Times New Roman"/>
          <w:color w:val="000000"/>
          <w:sz w:val="24"/>
          <w:szCs w:val="24"/>
        </w:rPr>
      </w:pPr>
    </w:p>
    <w:p w14:paraId="0F985325" w14:textId="77777777" w:rsidR="00CE674C" w:rsidRDefault="00622F75">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ab/>
      </w:r>
      <w:r>
        <w:rPr>
          <w:rFonts w:ascii="Times New Roman" w:eastAsia="Times New Roman" w:hAnsi="Times New Roman" w:cs="Times New Roman"/>
          <w:b/>
          <w:color w:val="000000"/>
          <w:sz w:val="24"/>
          <w:szCs w:val="24"/>
        </w:rPr>
        <w:t xml:space="preserve">Del orden Constitucional: </w:t>
      </w:r>
    </w:p>
    <w:p w14:paraId="61BA6D1C" w14:textId="77777777" w:rsidR="00CE674C" w:rsidRDefault="00CE674C">
      <w:pPr>
        <w:jc w:val="both"/>
        <w:rPr>
          <w:rFonts w:ascii="Times New Roman" w:eastAsia="Times New Roman" w:hAnsi="Times New Roman" w:cs="Times New Roman"/>
          <w:color w:val="000000"/>
          <w:sz w:val="24"/>
          <w:szCs w:val="24"/>
        </w:rPr>
      </w:pPr>
    </w:p>
    <w:p w14:paraId="47F8ADA1" w14:textId="77777777" w:rsidR="00CE674C" w:rsidRDefault="00622F75">
      <w:pPr>
        <w:numPr>
          <w:ilvl w:val="0"/>
          <w:numId w:val="3"/>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Artículo 2 – Constitución Política de Colombia: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w:t>
      </w:r>
      <w:r>
        <w:rPr>
          <w:rFonts w:ascii="Times New Roman" w:eastAsia="Times New Roman" w:hAnsi="Times New Roman" w:cs="Times New Roman"/>
          <w:b/>
          <w:color w:val="000000"/>
          <w:sz w:val="24"/>
          <w:szCs w:val="24"/>
          <w:u w:val="single"/>
        </w:rPr>
        <w:t>asegurar la convivencia pacífica</w:t>
      </w:r>
      <w:r>
        <w:rPr>
          <w:rFonts w:ascii="Times New Roman" w:eastAsia="Times New Roman" w:hAnsi="Times New Roman" w:cs="Times New Roman"/>
          <w:color w:val="000000"/>
          <w:sz w:val="24"/>
          <w:szCs w:val="24"/>
        </w:rPr>
        <w:t xml:space="preserve"> y la vigencia de un orden justo.</w:t>
      </w:r>
    </w:p>
    <w:p w14:paraId="2A29C6E4" w14:textId="77777777" w:rsidR="00CE674C" w:rsidRDefault="00CE674C">
      <w:pPr>
        <w:pBdr>
          <w:top w:val="nil"/>
          <w:left w:val="nil"/>
          <w:bottom w:val="nil"/>
          <w:right w:val="nil"/>
          <w:between w:val="nil"/>
        </w:pBdr>
        <w:ind w:left="360"/>
        <w:jc w:val="both"/>
        <w:rPr>
          <w:rFonts w:ascii="Times New Roman" w:eastAsia="Times New Roman" w:hAnsi="Times New Roman" w:cs="Times New Roman"/>
          <w:sz w:val="24"/>
          <w:szCs w:val="24"/>
        </w:rPr>
      </w:pPr>
    </w:p>
    <w:p w14:paraId="1FBFE4A8" w14:textId="77777777" w:rsidR="00CE674C" w:rsidRDefault="00622F75">
      <w:pPr>
        <w:numPr>
          <w:ilvl w:val="0"/>
          <w:numId w:val="3"/>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Artículo 11 – Constitución Política de Colombia: El Derecho a la vida es inviolable.</w:t>
      </w:r>
    </w:p>
    <w:p w14:paraId="1FB3D3FB"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50D7FA95" w14:textId="77777777" w:rsidR="00CE674C" w:rsidRDefault="00622F75">
      <w:pPr>
        <w:numPr>
          <w:ilvl w:val="0"/>
          <w:numId w:val="3"/>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Artículo 22 – Constitución Política de Colombia: La paz es un derecho y un deber de obligatorio cumplimiento</w:t>
      </w:r>
      <w:r>
        <w:rPr>
          <w:rFonts w:ascii="Times New Roman" w:eastAsia="Times New Roman" w:hAnsi="Times New Roman" w:cs="Times New Roman"/>
          <w:sz w:val="24"/>
          <w:szCs w:val="24"/>
        </w:rPr>
        <w:t>.</w:t>
      </w:r>
    </w:p>
    <w:p w14:paraId="08B4FB07"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220EE74E" w14:textId="77777777" w:rsidR="00CE674C" w:rsidRDefault="00622F75">
      <w:pPr>
        <w:numPr>
          <w:ilvl w:val="0"/>
          <w:numId w:val="3"/>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Artículo 23 – Constitución Política de Colombia: Toda persona tiene derecho a presentar peticiones respetuosas a las autoridades por motivos de interés general o particular y a obtener pronta resolución.</w:t>
      </w:r>
    </w:p>
    <w:p w14:paraId="30CC51CF" w14:textId="77777777" w:rsidR="00CE674C" w:rsidRDefault="00CE674C">
      <w:pPr>
        <w:pBdr>
          <w:top w:val="nil"/>
          <w:left w:val="nil"/>
          <w:bottom w:val="nil"/>
          <w:right w:val="nil"/>
          <w:between w:val="nil"/>
        </w:pBdr>
        <w:ind w:left="360"/>
        <w:jc w:val="both"/>
        <w:rPr>
          <w:rFonts w:ascii="Times New Roman" w:eastAsia="Times New Roman" w:hAnsi="Times New Roman" w:cs="Times New Roman"/>
          <w:sz w:val="24"/>
          <w:szCs w:val="24"/>
        </w:rPr>
      </w:pPr>
    </w:p>
    <w:p w14:paraId="296B4E10" w14:textId="77777777" w:rsidR="00CE674C" w:rsidRDefault="00622F75">
      <w:pPr>
        <w:numPr>
          <w:ilvl w:val="0"/>
          <w:numId w:val="3"/>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Artículo 42 – La familia es el núcleo fundamental de la sociedad (...) El Estado y la sociedad garantizan la protección integral de la familia (...) Cualquier forma de </w:t>
      </w:r>
      <w:r>
        <w:rPr>
          <w:rFonts w:ascii="Times New Roman" w:eastAsia="Times New Roman" w:hAnsi="Times New Roman" w:cs="Times New Roman"/>
          <w:sz w:val="24"/>
          <w:szCs w:val="24"/>
        </w:rPr>
        <w:lastRenderedPageBreak/>
        <w:t>violencia en la familia se considera destructiva de su armonía y unidad, y será sancionada conforme a la ley.</w:t>
      </w:r>
    </w:p>
    <w:p w14:paraId="149E89D1" w14:textId="77777777" w:rsidR="00CE674C" w:rsidRDefault="00CE674C">
      <w:pPr>
        <w:pBdr>
          <w:top w:val="nil"/>
          <w:left w:val="nil"/>
          <w:bottom w:val="nil"/>
          <w:right w:val="nil"/>
          <w:between w:val="nil"/>
        </w:pBdr>
        <w:ind w:left="360"/>
        <w:jc w:val="both"/>
        <w:rPr>
          <w:rFonts w:ascii="Times New Roman" w:eastAsia="Times New Roman" w:hAnsi="Times New Roman" w:cs="Times New Roman"/>
          <w:sz w:val="24"/>
          <w:szCs w:val="24"/>
        </w:rPr>
      </w:pPr>
    </w:p>
    <w:p w14:paraId="2119CDC7" w14:textId="77777777" w:rsidR="00CE674C" w:rsidRDefault="00622F75">
      <w:pPr>
        <w:numPr>
          <w:ilvl w:val="0"/>
          <w:numId w:val="3"/>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Artículo 58 – Constitución Política de Colombia: garantizará la propiedad privada y los demás derechos adquiridos con arreglo a las leyes civiles, los cuales no pueden ser desconocidos ni vulnerados por leyes posteriores. </w:t>
      </w:r>
    </w:p>
    <w:p w14:paraId="75F7FD44" w14:textId="77777777" w:rsidR="00CE674C" w:rsidRDefault="00CE674C">
      <w:pPr>
        <w:jc w:val="both"/>
        <w:rPr>
          <w:rFonts w:ascii="Times New Roman" w:eastAsia="Times New Roman" w:hAnsi="Times New Roman" w:cs="Times New Roman"/>
          <w:color w:val="000000"/>
          <w:sz w:val="24"/>
          <w:szCs w:val="24"/>
        </w:rPr>
      </w:pPr>
    </w:p>
    <w:p w14:paraId="45BC1FD3" w14:textId="77777777" w:rsidR="00CE674C" w:rsidRDefault="00622F75">
      <w:pPr>
        <w:ind w:firstLine="36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Bloque de constitucionalidad: </w:t>
      </w:r>
    </w:p>
    <w:p w14:paraId="5D1DC0E2" w14:textId="77777777" w:rsidR="00CE674C" w:rsidRDefault="00CE674C">
      <w:pPr>
        <w:ind w:firstLine="360"/>
        <w:jc w:val="both"/>
        <w:rPr>
          <w:rFonts w:ascii="Times New Roman" w:eastAsia="Times New Roman" w:hAnsi="Times New Roman" w:cs="Times New Roman"/>
          <w:b/>
          <w:color w:val="000000"/>
          <w:sz w:val="24"/>
          <w:szCs w:val="24"/>
        </w:rPr>
      </w:pPr>
    </w:p>
    <w:p w14:paraId="597D9922" w14:textId="77777777" w:rsidR="00CE674C" w:rsidRDefault="00622F75">
      <w:pPr>
        <w:numPr>
          <w:ilvl w:val="0"/>
          <w:numId w:val="4"/>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Declaración Universal de los Derechos Humanos y la Declaración Americana de los Derechos y Deberes del Hombre considera que </w:t>
      </w:r>
      <w:r>
        <w:rPr>
          <w:rFonts w:ascii="Times New Roman" w:eastAsia="Times New Roman" w:hAnsi="Times New Roman" w:cs="Times New Roman"/>
          <w:i/>
          <w:color w:val="000000"/>
          <w:sz w:val="24"/>
          <w:szCs w:val="24"/>
        </w:rPr>
        <w:t>“Todos los hombres nacen libres e iguales en dignidad y derechos y, dotados como están por naturaleza de razón y conciencia, deben conducirse fraternalmente los unos con los otros (…) Todo individuo tiene Derecho a la vida, a la libertad y la seguridad de su persona”.</w:t>
      </w:r>
    </w:p>
    <w:p w14:paraId="426890EE" w14:textId="77777777" w:rsidR="00CE674C" w:rsidRDefault="00CE674C">
      <w:pPr>
        <w:pBdr>
          <w:top w:val="nil"/>
          <w:left w:val="nil"/>
          <w:bottom w:val="nil"/>
          <w:right w:val="nil"/>
          <w:between w:val="nil"/>
        </w:pBdr>
        <w:jc w:val="both"/>
        <w:rPr>
          <w:rFonts w:ascii="Times New Roman" w:eastAsia="Times New Roman" w:hAnsi="Times New Roman" w:cs="Times New Roman"/>
          <w:i/>
          <w:sz w:val="24"/>
          <w:szCs w:val="24"/>
        </w:rPr>
      </w:pPr>
    </w:p>
    <w:p w14:paraId="408CE3A9" w14:textId="77777777" w:rsidR="00CE674C" w:rsidRDefault="00622F75">
      <w:pPr>
        <w:numPr>
          <w:ilvl w:val="0"/>
          <w:numId w:val="4"/>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La Convención Americana de Derechos Humanos - Pacto de San José – Artículo 22. </w:t>
      </w:r>
      <w:r>
        <w:rPr>
          <w:rFonts w:ascii="Times New Roman" w:eastAsia="Times New Roman" w:hAnsi="Times New Roman" w:cs="Times New Roman"/>
          <w:i/>
          <w:color w:val="000000"/>
          <w:sz w:val="24"/>
          <w:szCs w:val="24"/>
        </w:rPr>
        <w:t>Derecho de Circulación y de Residencia</w:t>
      </w:r>
      <w:r>
        <w:rPr>
          <w:rFonts w:ascii="Times New Roman" w:eastAsia="Times New Roman" w:hAnsi="Times New Roman" w:cs="Times New Roman"/>
          <w:i/>
          <w:sz w:val="24"/>
          <w:szCs w:val="24"/>
        </w:rPr>
        <w:t xml:space="preserve"> </w:t>
      </w:r>
      <w:r>
        <w:rPr>
          <w:rFonts w:ascii="Times New Roman" w:eastAsia="Times New Roman" w:hAnsi="Times New Roman" w:cs="Times New Roman"/>
          <w:i/>
          <w:color w:val="000000"/>
          <w:sz w:val="24"/>
          <w:szCs w:val="24"/>
        </w:rPr>
        <w:t>1. Toda persona que se halle legalmente en el territorio de un Estado tiene derecho a</w:t>
      </w:r>
      <w:r>
        <w:rPr>
          <w:rFonts w:ascii="Times New Roman" w:eastAsia="Times New Roman" w:hAnsi="Times New Roman" w:cs="Times New Roman"/>
          <w:i/>
          <w:sz w:val="24"/>
          <w:szCs w:val="24"/>
        </w:rPr>
        <w:t xml:space="preserve"> </w:t>
      </w:r>
      <w:r>
        <w:rPr>
          <w:rFonts w:ascii="Times New Roman" w:eastAsia="Times New Roman" w:hAnsi="Times New Roman" w:cs="Times New Roman"/>
          <w:i/>
          <w:color w:val="000000"/>
          <w:sz w:val="24"/>
          <w:szCs w:val="24"/>
        </w:rPr>
        <w:t>circular por el mismo y, a residir en él con sujeción a las disposiciones legales.</w:t>
      </w:r>
      <w:r>
        <w:rPr>
          <w:rFonts w:ascii="Times New Roman" w:eastAsia="Times New Roman" w:hAnsi="Times New Roman" w:cs="Times New Roman"/>
          <w:i/>
          <w:sz w:val="24"/>
          <w:szCs w:val="24"/>
        </w:rPr>
        <w:t xml:space="preserve"> </w:t>
      </w:r>
      <w:r>
        <w:rPr>
          <w:rFonts w:ascii="Times New Roman" w:eastAsia="Times New Roman" w:hAnsi="Times New Roman" w:cs="Times New Roman"/>
          <w:i/>
          <w:color w:val="000000"/>
          <w:sz w:val="24"/>
          <w:szCs w:val="24"/>
        </w:rPr>
        <w:t>2. Toda persona tiene derecho a salir libremente de cualquier país, inclusive del</w:t>
      </w:r>
      <w:r>
        <w:rPr>
          <w:rFonts w:ascii="Times New Roman" w:eastAsia="Times New Roman" w:hAnsi="Times New Roman" w:cs="Times New Roman"/>
          <w:i/>
          <w:sz w:val="24"/>
          <w:szCs w:val="24"/>
        </w:rPr>
        <w:t xml:space="preserve"> </w:t>
      </w:r>
      <w:r>
        <w:rPr>
          <w:rFonts w:ascii="Times New Roman" w:eastAsia="Times New Roman" w:hAnsi="Times New Roman" w:cs="Times New Roman"/>
          <w:i/>
          <w:color w:val="000000"/>
          <w:sz w:val="24"/>
          <w:szCs w:val="24"/>
        </w:rPr>
        <w:t>propio.</w:t>
      </w:r>
      <w:r>
        <w:rPr>
          <w:rFonts w:ascii="Times New Roman" w:eastAsia="Times New Roman" w:hAnsi="Times New Roman" w:cs="Times New Roman"/>
          <w:i/>
          <w:sz w:val="24"/>
          <w:szCs w:val="24"/>
        </w:rPr>
        <w:t xml:space="preserve"> </w:t>
      </w:r>
      <w:r>
        <w:rPr>
          <w:rFonts w:ascii="Times New Roman" w:eastAsia="Times New Roman" w:hAnsi="Times New Roman" w:cs="Times New Roman"/>
          <w:i/>
          <w:color w:val="000000"/>
          <w:sz w:val="24"/>
          <w:szCs w:val="24"/>
        </w:rPr>
        <w:t>3. El ejercicio de los derechos anteriores no puede ser restringido sino en virtud de</w:t>
      </w:r>
      <w:r>
        <w:rPr>
          <w:rFonts w:ascii="Times New Roman" w:eastAsia="Times New Roman" w:hAnsi="Times New Roman" w:cs="Times New Roman"/>
          <w:i/>
          <w:sz w:val="24"/>
          <w:szCs w:val="24"/>
        </w:rPr>
        <w:t xml:space="preserve"> </w:t>
      </w:r>
      <w:r>
        <w:rPr>
          <w:rFonts w:ascii="Times New Roman" w:eastAsia="Times New Roman" w:hAnsi="Times New Roman" w:cs="Times New Roman"/>
          <w:i/>
          <w:color w:val="000000"/>
          <w:sz w:val="24"/>
          <w:szCs w:val="24"/>
        </w:rPr>
        <w:t>una ley, en la medida indispensable en una sociedad democrática, para prevenir</w:t>
      </w:r>
      <w:r>
        <w:rPr>
          <w:rFonts w:ascii="Times New Roman" w:eastAsia="Times New Roman" w:hAnsi="Times New Roman" w:cs="Times New Roman"/>
          <w:i/>
          <w:sz w:val="24"/>
          <w:szCs w:val="24"/>
        </w:rPr>
        <w:t xml:space="preserve"> </w:t>
      </w:r>
      <w:r>
        <w:rPr>
          <w:rFonts w:ascii="Times New Roman" w:eastAsia="Times New Roman" w:hAnsi="Times New Roman" w:cs="Times New Roman"/>
          <w:i/>
          <w:color w:val="000000"/>
          <w:sz w:val="24"/>
          <w:szCs w:val="24"/>
        </w:rPr>
        <w:t>infracciones penales o para proteger la seguridad nacional, la seguridad o el</w:t>
      </w:r>
      <w:r>
        <w:rPr>
          <w:rFonts w:ascii="Times New Roman" w:eastAsia="Times New Roman" w:hAnsi="Times New Roman" w:cs="Times New Roman"/>
          <w:i/>
          <w:sz w:val="24"/>
          <w:szCs w:val="24"/>
        </w:rPr>
        <w:t xml:space="preserve"> </w:t>
      </w:r>
      <w:r>
        <w:rPr>
          <w:rFonts w:ascii="Times New Roman" w:eastAsia="Times New Roman" w:hAnsi="Times New Roman" w:cs="Times New Roman"/>
          <w:i/>
          <w:color w:val="000000"/>
          <w:sz w:val="24"/>
          <w:szCs w:val="24"/>
        </w:rPr>
        <w:t>orden públicos, la moral o la salud públicas o los derechos y libertades de los</w:t>
      </w:r>
      <w:r>
        <w:rPr>
          <w:rFonts w:ascii="Times New Roman" w:eastAsia="Times New Roman" w:hAnsi="Times New Roman" w:cs="Times New Roman"/>
          <w:i/>
          <w:sz w:val="24"/>
          <w:szCs w:val="24"/>
        </w:rPr>
        <w:t xml:space="preserve"> </w:t>
      </w:r>
      <w:r>
        <w:rPr>
          <w:rFonts w:ascii="Times New Roman" w:eastAsia="Times New Roman" w:hAnsi="Times New Roman" w:cs="Times New Roman"/>
          <w:i/>
          <w:color w:val="000000"/>
          <w:sz w:val="24"/>
          <w:szCs w:val="24"/>
        </w:rPr>
        <w:t>demás</w:t>
      </w:r>
    </w:p>
    <w:p w14:paraId="7806A521" w14:textId="77777777" w:rsidR="00CE674C" w:rsidRDefault="00CE674C">
      <w:pPr>
        <w:pBdr>
          <w:top w:val="nil"/>
          <w:left w:val="nil"/>
          <w:bottom w:val="nil"/>
          <w:right w:val="nil"/>
          <w:between w:val="nil"/>
        </w:pBdr>
        <w:ind w:left="720"/>
        <w:jc w:val="both"/>
        <w:rPr>
          <w:rFonts w:ascii="Times New Roman" w:eastAsia="Times New Roman" w:hAnsi="Times New Roman" w:cs="Times New Roman"/>
          <w:sz w:val="24"/>
          <w:szCs w:val="24"/>
        </w:rPr>
      </w:pPr>
    </w:p>
    <w:p w14:paraId="31F9E1EB" w14:textId="77777777" w:rsidR="00CE674C" w:rsidRDefault="00622F75">
      <w:pPr>
        <w:numPr>
          <w:ilvl w:val="0"/>
          <w:numId w:val="4"/>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Que la Convención Interamericana para Prevenir, Sancionar y Erradicar la Violencia contra la Mujer “Convención de Belem do Para” indica que </w:t>
      </w:r>
      <w:r>
        <w:rPr>
          <w:rFonts w:ascii="Times New Roman" w:eastAsia="Times New Roman" w:hAnsi="Times New Roman" w:cs="Times New Roman"/>
          <w:i/>
          <w:color w:val="000000"/>
          <w:sz w:val="24"/>
          <w:szCs w:val="24"/>
        </w:rPr>
        <w:t>“toda mujer tiene derecho a una vida libre de violencia, tanto en el ámbito público como en el privado (…) toda mujer podrá ejercer libre y plenamente sus derechos civiles, políticos, económicos, sociales, culturales, y contará con total protección de esos derechos consagrados en los instrumentos regionales e internacionales sobre derechos humanos. Los estados partes reconocen que la violencia contra la mujer impide y anula el ejercicio contra sus derechos”</w:t>
      </w:r>
    </w:p>
    <w:p w14:paraId="5A5CC2D2" w14:textId="77777777" w:rsidR="00CE674C" w:rsidRDefault="00CE674C">
      <w:pPr>
        <w:jc w:val="both"/>
        <w:rPr>
          <w:rFonts w:ascii="Times New Roman" w:eastAsia="Times New Roman" w:hAnsi="Times New Roman" w:cs="Times New Roman"/>
          <w:color w:val="000000"/>
          <w:sz w:val="24"/>
          <w:szCs w:val="24"/>
        </w:rPr>
      </w:pPr>
    </w:p>
    <w:p w14:paraId="33AAD2F3" w14:textId="77777777" w:rsidR="00CE674C" w:rsidRDefault="00622F75">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ab/>
      </w:r>
      <w:r>
        <w:rPr>
          <w:rFonts w:ascii="Times New Roman" w:eastAsia="Times New Roman" w:hAnsi="Times New Roman" w:cs="Times New Roman"/>
          <w:b/>
          <w:color w:val="000000"/>
          <w:sz w:val="24"/>
          <w:szCs w:val="24"/>
        </w:rPr>
        <w:t xml:space="preserve">De orden Nacional: </w:t>
      </w:r>
    </w:p>
    <w:p w14:paraId="3B6B73E4" w14:textId="77777777" w:rsidR="00CE674C" w:rsidRDefault="00CE674C">
      <w:pPr>
        <w:jc w:val="both"/>
        <w:rPr>
          <w:rFonts w:ascii="Times New Roman" w:eastAsia="Times New Roman" w:hAnsi="Times New Roman" w:cs="Times New Roman"/>
          <w:color w:val="000000"/>
          <w:sz w:val="24"/>
          <w:szCs w:val="24"/>
        </w:rPr>
      </w:pPr>
    </w:p>
    <w:p w14:paraId="2449D3D6" w14:textId="77777777" w:rsidR="00CE674C" w:rsidRDefault="00622F75">
      <w:pPr>
        <w:numPr>
          <w:ilvl w:val="0"/>
          <w:numId w:val="5"/>
        </w:numPr>
        <w:pBdr>
          <w:top w:val="nil"/>
          <w:left w:val="nil"/>
          <w:bottom w:val="nil"/>
          <w:right w:val="nil"/>
          <w:between w:val="nil"/>
        </w:pBdr>
        <w:spacing w:after="28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Que la Ley 062 de 1993</w:t>
      </w:r>
      <w:r>
        <w:rPr>
          <w:rFonts w:ascii="Times New Roman" w:eastAsia="Times New Roman" w:hAnsi="Times New Roman" w:cs="Times New Roman"/>
          <w:b/>
          <w:sz w:val="24"/>
          <w:szCs w:val="24"/>
        </w:rPr>
        <w:t xml:space="preserve">: </w:t>
      </w:r>
    </w:p>
    <w:p w14:paraId="3F5082B2" w14:textId="77777777" w:rsidR="00CE674C" w:rsidRDefault="00622F75">
      <w:pPr>
        <w:pBdr>
          <w:top w:val="nil"/>
          <w:left w:val="nil"/>
          <w:bottom w:val="nil"/>
          <w:right w:val="nil"/>
          <w:between w:val="nil"/>
        </w:pBdr>
        <w:spacing w:after="280"/>
        <w:ind w:left="108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 xml:space="preserve">ARTÍCULO 4°. Inmediatez. </w:t>
      </w:r>
      <w:r>
        <w:rPr>
          <w:rFonts w:ascii="Times New Roman" w:eastAsia="Times New Roman" w:hAnsi="Times New Roman" w:cs="Times New Roman"/>
          <w:i/>
          <w:sz w:val="24"/>
          <w:szCs w:val="24"/>
        </w:rPr>
        <w:t>Toda persona tiene derecho a recibir inmediata protección contra cualquier manifestación delictiva u contravencional y el deber de cooperar con las autoridades.</w:t>
      </w:r>
    </w:p>
    <w:p w14:paraId="0EB2CB39" w14:textId="77777777" w:rsidR="00CE674C" w:rsidRDefault="00622F75">
      <w:pPr>
        <w:numPr>
          <w:ilvl w:val="0"/>
          <w:numId w:val="5"/>
        </w:numPr>
        <w:pBdr>
          <w:top w:val="nil"/>
          <w:left w:val="nil"/>
          <w:bottom w:val="nil"/>
          <w:right w:val="nil"/>
          <w:between w:val="nil"/>
        </w:pBdr>
        <w:spacing w:after="280"/>
        <w:jc w:val="both"/>
        <w:rPr>
          <w:rFonts w:ascii="Times New Roman" w:eastAsia="Times New Roman" w:hAnsi="Times New Roman" w:cs="Times New Roman"/>
          <w:color w:val="000000"/>
          <w:sz w:val="24"/>
          <w:szCs w:val="24"/>
        </w:rPr>
      </w:pPr>
      <w:r>
        <w:rPr>
          <w:rFonts w:ascii="Times New Roman" w:eastAsia="Times New Roman" w:hAnsi="Times New Roman" w:cs="Times New Roman"/>
          <w:b/>
          <w:sz w:val="24"/>
          <w:szCs w:val="24"/>
        </w:rPr>
        <w:t xml:space="preserve">Ley 675 de 2001: </w:t>
      </w:r>
    </w:p>
    <w:p w14:paraId="7C2AF40A" w14:textId="77777777" w:rsidR="00CE674C" w:rsidRDefault="00622F75">
      <w:pPr>
        <w:pBdr>
          <w:top w:val="nil"/>
          <w:left w:val="nil"/>
          <w:bottom w:val="nil"/>
          <w:right w:val="nil"/>
          <w:between w:val="nil"/>
        </w:pBdr>
        <w:ind w:left="1080"/>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ARTÍCULO 1o. OBJETO.</w:t>
      </w:r>
      <w:r>
        <w:rPr>
          <w:rFonts w:ascii="Times New Roman" w:eastAsia="Times New Roman" w:hAnsi="Times New Roman" w:cs="Times New Roman"/>
          <w:i/>
          <w:sz w:val="24"/>
          <w:szCs w:val="24"/>
        </w:rPr>
        <w:t xml:space="preserve"> La presente ley regula la forma especial de dominio, denominada propiedad horizontal, en la que concurren derechos de propiedad exclusiva sobre bienes privados y derechos de copropiedad sobre el terreno y los demás bienes comunes, con el fin de garantizar la seguridad y la convivencia pacífica en los inmuebles sometidos a ella, así como la función social de la propiedad</w:t>
      </w:r>
      <w:r>
        <w:rPr>
          <w:rFonts w:ascii="Times New Roman" w:eastAsia="Times New Roman" w:hAnsi="Times New Roman" w:cs="Times New Roman"/>
          <w:b/>
          <w:i/>
          <w:sz w:val="24"/>
          <w:szCs w:val="24"/>
        </w:rPr>
        <w:t>.</w:t>
      </w:r>
    </w:p>
    <w:p w14:paraId="16E11587" w14:textId="77777777" w:rsidR="00CE674C" w:rsidRDefault="00CE674C">
      <w:pPr>
        <w:pBdr>
          <w:top w:val="nil"/>
          <w:left w:val="nil"/>
          <w:bottom w:val="nil"/>
          <w:right w:val="nil"/>
          <w:between w:val="nil"/>
        </w:pBdr>
        <w:jc w:val="both"/>
        <w:rPr>
          <w:rFonts w:ascii="Times New Roman" w:eastAsia="Times New Roman" w:hAnsi="Times New Roman" w:cs="Times New Roman"/>
          <w:b/>
          <w:i/>
          <w:sz w:val="24"/>
          <w:szCs w:val="24"/>
        </w:rPr>
      </w:pPr>
    </w:p>
    <w:p w14:paraId="5403931D" w14:textId="77777777" w:rsidR="00CE674C" w:rsidRDefault="00622F75">
      <w:pPr>
        <w:numPr>
          <w:ilvl w:val="0"/>
          <w:numId w:val="1"/>
        </w:numPr>
        <w:pBdr>
          <w:top w:val="nil"/>
          <w:left w:val="nil"/>
          <w:bottom w:val="nil"/>
          <w:right w:val="nil"/>
          <w:between w:val="nil"/>
        </w:pBd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Ley 1801 de 2016:</w:t>
      </w:r>
    </w:p>
    <w:p w14:paraId="282FACC8" w14:textId="77777777" w:rsidR="00CE674C" w:rsidRDefault="00CE674C">
      <w:pPr>
        <w:pBdr>
          <w:top w:val="nil"/>
          <w:left w:val="nil"/>
          <w:bottom w:val="nil"/>
          <w:right w:val="nil"/>
          <w:between w:val="nil"/>
        </w:pBdr>
        <w:ind w:left="720"/>
        <w:jc w:val="both"/>
        <w:rPr>
          <w:rFonts w:ascii="Times New Roman" w:eastAsia="Times New Roman" w:hAnsi="Times New Roman" w:cs="Times New Roman"/>
          <w:b/>
          <w:sz w:val="24"/>
          <w:szCs w:val="24"/>
        </w:rPr>
      </w:pPr>
    </w:p>
    <w:p w14:paraId="4804480D" w14:textId="77777777" w:rsidR="00CE674C" w:rsidRDefault="00622F75">
      <w:pPr>
        <w:pBdr>
          <w:top w:val="nil"/>
          <w:left w:val="nil"/>
          <w:bottom w:val="nil"/>
          <w:right w:val="nil"/>
          <w:between w:val="nil"/>
        </w:pBdr>
        <w:ind w:left="1440"/>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 ARTÍCULO 1. Objeto. </w:t>
      </w:r>
      <w:r>
        <w:rPr>
          <w:rFonts w:ascii="Times New Roman" w:eastAsia="Times New Roman" w:hAnsi="Times New Roman" w:cs="Times New Roman"/>
          <w:i/>
          <w:sz w:val="24"/>
          <w:szCs w:val="24"/>
        </w:rPr>
        <w:t>Las disposiciones previstas en este Código son de carácter preventivo y buscan establecer las condiciones para la convivencia en el territorio nacional al propiciar el cumplimiento de los deberes y obligaciones de las personas naturales y jurídicas, así como determinar el ejercicio del poder, la función y la actividad de Policía, de conformidad con la Constitución Política y el ordenamiento jurídico vigente.</w:t>
      </w:r>
    </w:p>
    <w:p w14:paraId="674CFAEE" w14:textId="77777777" w:rsidR="00CE674C" w:rsidRDefault="00CE674C">
      <w:pPr>
        <w:pBdr>
          <w:top w:val="nil"/>
          <w:left w:val="nil"/>
          <w:bottom w:val="nil"/>
          <w:right w:val="nil"/>
          <w:between w:val="nil"/>
        </w:pBdr>
        <w:ind w:left="360"/>
        <w:jc w:val="both"/>
        <w:rPr>
          <w:rFonts w:ascii="Times New Roman" w:eastAsia="Times New Roman" w:hAnsi="Times New Roman" w:cs="Times New Roman"/>
          <w:b/>
          <w:sz w:val="24"/>
          <w:szCs w:val="24"/>
        </w:rPr>
      </w:pPr>
    </w:p>
    <w:p w14:paraId="0F435EFF" w14:textId="77777777" w:rsidR="00CE674C" w:rsidRDefault="00CE674C">
      <w:pPr>
        <w:pBdr>
          <w:top w:val="nil"/>
          <w:left w:val="nil"/>
          <w:bottom w:val="nil"/>
          <w:right w:val="nil"/>
          <w:between w:val="nil"/>
        </w:pBdr>
        <w:jc w:val="both"/>
        <w:rPr>
          <w:rFonts w:ascii="Times New Roman" w:eastAsia="Times New Roman" w:hAnsi="Times New Roman" w:cs="Times New Roman"/>
          <w:i/>
          <w:sz w:val="24"/>
          <w:szCs w:val="24"/>
        </w:rPr>
      </w:pPr>
    </w:p>
    <w:p w14:paraId="26A00AA5" w14:textId="77777777" w:rsidR="00CE674C" w:rsidRDefault="00622F75">
      <w:pPr>
        <w:pBdr>
          <w:top w:val="nil"/>
          <w:left w:val="nil"/>
          <w:bottom w:val="nil"/>
          <w:right w:val="nil"/>
          <w:between w:val="nil"/>
        </w:pBdr>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ab/>
      </w:r>
      <w:r>
        <w:rPr>
          <w:rFonts w:ascii="Times New Roman" w:eastAsia="Times New Roman" w:hAnsi="Times New Roman" w:cs="Times New Roman"/>
          <w:b/>
          <w:color w:val="000000"/>
          <w:sz w:val="24"/>
          <w:szCs w:val="24"/>
        </w:rPr>
        <w:t xml:space="preserve">Del orden Distrital: </w:t>
      </w:r>
    </w:p>
    <w:p w14:paraId="64C523A5" w14:textId="77777777" w:rsidR="00CE674C" w:rsidRDefault="00CE674C">
      <w:pPr>
        <w:pBdr>
          <w:top w:val="nil"/>
          <w:left w:val="nil"/>
          <w:bottom w:val="nil"/>
          <w:right w:val="nil"/>
          <w:between w:val="nil"/>
        </w:pBdr>
        <w:jc w:val="both"/>
        <w:rPr>
          <w:rFonts w:ascii="Times New Roman" w:eastAsia="Times New Roman" w:hAnsi="Times New Roman" w:cs="Times New Roman"/>
          <w:b/>
          <w:sz w:val="24"/>
          <w:szCs w:val="24"/>
        </w:rPr>
      </w:pPr>
    </w:p>
    <w:p w14:paraId="79F56A9F" w14:textId="77777777" w:rsidR="00CE674C" w:rsidRDefault="00622F75">
      <w:pPr>
        <w:numPr>
          <w:ilvl w:val="0"/>
          <w:numId w:val="7"/>
        </w:numPr>
        <w:pBdr>
          <w:top w:val="nil"/>
          <w:left w:val="nil"/>
          <w:bottom w:val="nil"/>
          <w:right w:val="nil"/>
          <w:between w:val="nil"/>
        </w:pBdr>
        <w:jc w:val="both"/>
        <w:rPr>
          <w:rFonts w:ascii="Times New Roman" w:eastAsia="Times New Roman" w:hAnsi="Times New Roman" w:cs="Times New Roman"/>
          <w:i/>
          <w:color w:val="000000"/>
          <w:sz w:val="24"/>
          <w:szCs w:val="24"/>
        </w:rPr>
      </w:pPr>
      <w:bookmarkStart w:id="1" w:name="_heading=h.gjdgxs" w:colFirst="0" w:colLast="0"/>
      <w:bookmarkEnd w:id="1"/>
      <w:r>
        <w:rPr>
          <w:rFonts w:ascii="Times New Roman" w:eastAsia="Times New Roman" w:hAnsi="Times New Roman" w:cs="Times New Roman"/>
          <w:sz w:val="24"/>
          <w:szCs w:val="24"/>
        </w:rPr>
        <w:t xml:space="preserve">Acuerdo 652 de 2016: Por medio del cual se crea El Consejo Distrital de Propiedad Horizontal. </w:t>
      </w:r>
    </w:p>
    <w:p w14:paraId="5708555D" w14:textId="77777777" w:rsidR="00CE674C" w:rsidRDefault="00CE674C">
      <w:pPr>
        <w:pBdr>
          <w:top w:val="nil"/>
          <w:left w:val="nil"/>
          <w:bottom w:val="nil"/>
          <w:right w:val="nil"/>
          <w:between w:val="nil"/>
        </w:pBdr>
        <w:ind w:left="1080"/>
        <w:jc w:val="both"/>
        <w:rPr>
          <w:rFonts w:ascii="Times New Roman" w:eastAsia="Times New Roman" w:hAnsi="Times New Roman" w:cs="Times New Roman"/>
          <w:sz w:val="24"/>
          <w:szCs w:val="24"/>
        </w:rPr>
      </w:pPr>
      <w:bookmarkStart w:id="2" w:name="_heading=h.jklx7erbco4t" w:colFirst="0" w:colLast="0"/>
      <w:bookmarkEnd w:id="2"/>
    </w:p>
    <w:p w14:paraId="75BFB782" w14:textId="77777777" w:rsidR="00CE674C" w:rsidRDefault="00622F75">
      <w:pPr>
        <w:pBdr>
          <w:top w:val="nil"/>
          <w:left w:val="nil"/>
          <w:bottom w:val="nil"/>
          <w:right w:val="nil"/>
          <w:between w:val="nil"/>
        </w:pBdr>
        <w:ind w:left="1080"/>
        <w:jc w:val="both"/>
        <w:rPr>
          <w:rFonts w:ascii="Times New Roman" w:eastAsia="Times New Roman" w:hAnsi="Times New Roman" w:cs="Times New Roman"/>
          <w:i/>
          <w:sz w:val="24"/>
          <w:szCs w:val="24"/>
        </w:rPr>
      </w:pPr>
      <w:bookmarkStart w:id="3" w:name="_heading=h.1t8b9twvcz7" w:colFirst="0" w:colLast="0"/>
      <w:bookmarkEnd w:id="3"/>
      <w:r>
        <w:rPr>
          <w:rFonts w:ascii="Times New Roman" w:eastAsia="Times New Roman" w:hAnsi="Times New Roman" w:cs="Times New Roman"/>
          <w:b/>
          <w:i/>
          <w:sz w:val="24"/>
          <w:szCs w:val="24"/>
        </w:rPr>
        <w:t>ARTÍCULO PRIMERO.</w:t>
      </w:r>
      <w:r>
        <w:rPr>
          <w:rFonts w:ascii="Times New Roman" w:eastAsia="Times New Roman" w:hAnsi="Times New Roman" w:cs="Times New Roman"/>
          <w:i/>
          <w:sz w:val="24"/>
          <w:szCs w:val="24"/>
        </w:rPr>
        <w:t xml:space="preserve"> Créase el Consejo Distrital de Propiedad Horizontal como ente consultivo y asesor de la Administración Distrital en las políticas, planes de desarrollo, proyectos e iniciativas, que involucren los temas concernientes a las comunidades vinculadas con la propiedad horizontal del Distrito Capital. Adicionalmente, se podrá articular con sistemas, entidades u organismos nacionales, que implementen acciones para la protección, educación y desarrollo de la Propiedad Horizontal, y con las demás instancias y sistemas de participación Distrital.</w:t>
      </w:r>
    </w:p>
    <w:p w14:paraId="56EFF78D" w14:textId="77777777" w:rsidR="00CE674C" w:rsidRDefault="00CE674C">
      <w:pPr>
        <w:pBdr>
          <w:top w:val="nil"/>
          <w:left w:val="nil"/>
          <w:bottom w:val="nil"/>
          <w:right w:val="nil"/>
          <w:between w:val="nil"/>
        </w:pBdr>
        <w:jc w:val="both"/>
        <w:rPr>
          <w:rFonts w:ascii="Times New Roman" w:eastAsia="Times New Roman" w:hAnsi="Times New Roman" w:cs="Times New Roman"/>
          <w:i/>
          <w:sz w:val="24"/>
          <w:szCs w:val="24"/>
        </w:rPr>
      </w:pPr>
      <w:bookmarkStart w:id="4" w:name="_heading=h.2t53h6vlmy32" w:colFirst="0" w:colLast="0"/>
      <w:bookmarkEnd w:id="4"/>
    </w:p>
    <w:p w14:paraId="4EF8C9D8" w14:textId="77777777" w:rsidR="00CE674C" w:rsidRDefault="00622F75">
      <w:pPr>
        <w:pBdr>
          <w:top w:val="nil"/>
          <w:left w:val="nil"/>
          <w:bottom w:val="nil"/>
          <w:right w:val="nil"/>
          <w:between w:val="nil"/>
        </w:pBdr>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 </w:t>
      </w:r>
    </w:p>
    <w:p w14:paraId="39643358" w14:textId="77777777" w:rsidR="00CE674C" w:rsidRDefault="00622F75">
      <w:pPr>
        <w:numPr>
          <w:ilvl w:val="0"/>
          <w:numId w:val="2"/>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JUSTIFICACIÓN DEL PROYECTO</w:t>
      </w:r>
    </w:p>
    <w:p w14:paraId="54128292" w14:textId="77777777" w:rsidR="00CE674C" w:rsidRDefault="00CE674C">
      <w:pPr>
        <w:pBdr>
          <w:top w:val="nil"/>
          <w:left w:val="nil"/>
          <w:bottom w:val="nil"/>
          <w:right w:val="nil"/>
          <w:between w:val="nil"/>
        </w:pBdr>
        <w:jc w:val="both"/>
        <w:rPr>
          <w:rFonts w:ascii="Times New Roman" w:eastAsia="Times New Roman" w:hAnsi="Times New Roman" w:cs="Times New Roman"/>
          <w:b/>
          <w:sz w:val="24"/>
          <w:szCs w:val="24"/>
        </w:rPr>
      </w:pPr>
    </w:p>
    <w:p w14:paraId="6527FF71" w14:textId="77777777" w:rsidR="00CE674C" w:rsidRDefault="00622F75">
      <w:pPr>
        <w:pBdr>
          <w:top w:val="nil"/>
          <w:left w:val="nil"/>
          <w:bottom w:val="nil"/>
          <w:right w:val="nil"/>
          <w:between w:val="nil"/>
        </w:pBd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 Contexto histórico del régimen de propiedad horizontal. </w:t>
      </w:r>
    </w:p>
    <w:p w14:paraId="4A7F7B2D" w14:textId="77777777" w:rsidR="00CE674C" w:rsidRDefault="00CE674C">
      <w:pPr>
        <w:pBdr>
          <w:top w:val="nil"/>
          <w:left w:val="nil"/>
          <w:bottom w:val="nil"/>
          <w:right w:val="nil"/>
          <w:between w:val="nil"/>
        </w:pBdr>
        <w:rPr>
          <w:rFonts w:ascii="Times New Roman" w:eastAsia="Times New Roman" w:hAnsi="Times New Roman" w:cs="Times New Roman"/>
          <w:b/>
          <w:sz w:val="24"/>
          <w:szCs w:val="24"/>
        </w:rPr>
      </w:pPr>
    </w:p>
    <w:p w14:paraId="17A5411F"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régimen de propiedad horizontal en Colombia tiene su origen a partir de la Ley 182 de 1948. Esta norma fue expedida, con el objetivo de abordar el problema de escasez de vivienda originado luego de los sucesos del 9 de abril de 1948 que dejaron una buena parte de la ciudad de Bogotá destruida (Nader, 2002, p. 28)</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La precitada ley tuvo como objeto estipular un “</w:t>
      </w:r>
      <w:r>
        <w:rPr>
          <w:rFonts w:ascii="Times New Roman" w:eastAsia="Times New Roman" w:hAnsi="Times New Roman" w:cs="Times New Roman"/>
          <w:i/>
          <w:sz w:val="24"/>
          <w:szCs w:val="24"/>
        </w:rPr>
        <w:t>régimen de la propiedad de pisos y departamentos de un mismo edificio”</w:t>
      </w:r>
      <w:r>
        <w:rPr>
          <w:rFonts w:ascii="Times New Roman" w:eastAsia="Times New Roman" w:hAnsi="Times New Roman" w:cs="Times New Roman"/>
          <w:sz w:val="24"/>
          <w:szCs w:val="24"/>
        </w:rPr>
        <w:t xml:space="preserve"> y aunque no estipuló una definición concreta frente a lo que consistía la propiedad horizontal,  en su artículo primero establecía las condiciones en las que se podría hacer parte de dicho régimen. </w:t>
      </w:r>
    </w:p>
    <w:p w14:paraId="39BFF896"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14B0606C" w14:textId="77777777" w:rsidR="00CE674C" w:rsidRDefault="00622F75">
      <w:pPr>
        <w:ind w:left="72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 xml:space="preserve">Artículo 1. </w:t>
      </w:r>
      <w:r>
        <w:rPr>
          <w:rFonts w:ascii="Times New Roman" w:eastAsia="Times New Roman" w:hAnsi="Times New Roman" w:cs="Times New Roman"/>
          <w:i/>
          <w:sz w:val="24"/>
          <w:szCs w:val="24"/>
        </w:rPr>
        <w:t>Los diversos pisos de un edificio, y los departamentos en que se divida cada piso, así como los departamentos de la casa de un solo piso, cuando sean independientes y tengan salida a la vía pública directamente o por un pasaje común, podrán pertenecer a distintos propietarios, de acuerdo con las disposiciones de esta ley.</w:t>
      </w:r>
    </w:p>
    <w:p w14:paraId="4D6FBF1D" w14:textId="77777777" w:rsidR="00CE674C" w:rsidRDefault="00CE674C">
      <w:pPr>
        <w:ind w:left="720"/>
        <w:jc w:val="both"/>
        <w:rPr>
          <w:rFonts w:ascii="Times New Roman" w:eastAsia="Times New Roman" w:hAnsi="Times New Roman" w:cs="Times New Roman"/>
          <w:i/>
          <w:sz w:val="24"/>
          <w:szCs w:val="24"/>
        </w:rPr>
      </w:pPr>
    </w:p>
    <w:p w14:paraId="530397FF" w14:textId="77777777" w:rsidR="00CE674C" w:rsidRDefault="00622F75">
      <w:pPr>
        <w:ind w:left="720"/>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El título podrá considerar como piso o departamento los subsuelos y las buhardillas habitables, siempre que sean independientes de los demás pisos y departamentos.</w:t>
      </w:r>
      <w:r>
        <w:rPr>
          <w:rFonts w:ascii="Times New Roman" w:eastAsia="Times New Roman" w:hAnsi="Times New Roman" w:cs="Times New Roman"/>
          <w:sz w:val="24"/>
          <w:szCs w:val="24"/>
        </w:rPr>
        <w:t xml:space="preserve"> (Congreso de la República, L.182/1948) </w:t>
      </w:r>
    </w:p>
    <w:p w14:paraId="4BEAF105"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0F2D2F6D"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Esta norma incorporó nociones cruciales que actualmente son ampliamente abordadas y estudiadas, como los bienes comunes y el reglamento de copropiedad. Ambos conceptos comparten un factor característico y particular: </w:t>
      </w:r>
      <w:r>
        <w:rPr>
          <w:rFonts w:ascii="Times New Roman" w:eastAsia="Times New Roman" w:hAnsi="Times New Roman" w:cs="Times New Roman"/>
          <w:b/>
          <w:sz w:val="24"/>
          <w:szCs w:val="24"/>
          <w:u w:val="single"/>
        </w:rPr>
        <w:t>la seguridad y tranquilidad de los copropietarios</w:t>
      </w:r>
      <w:r>
        <w:rPr>
          <w:rFonts w:ascii="Times New Roman" w:eastAsia="Times New Roman" w:hAnsi="Times New Roman" w:cs="Times New Roman"/>
          <w:sz w:val="24"/>
          <w:szCs w:val="24"/>
        </w:rPr>
        <w:t xml:space="preserve">. Los bienes comunes, como los cimientos, muros, techos e instalaciones generales, según el artículo 3 de la mencionada ley, se constituyen como elementos esenciales para garantizar la estabilidad y funcionalidad del edificio, previniendo riesgos estructurales y operativos. Por otro lado, el artículo 7 establecía que el reglamento de copropiedad funciona como un instrumento obligatorio (Art.19) que establece el uso adecuado de cada unidad y las áreas comunes, prohibiendo actividades que puedan comprometer la seguridad o causar perturbaciones. </w:t>
      </w:r>
    </w:p>
    <w:p w14:paraId="53811D92"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1B5853FD" w14:textId="77777777" w:rsidR="00CE674C" w:rsidRDefault="00622F75">
      <w:pPr>
        <w:pBdr>
          <w:top w:val="nil"/>
          <w:left w:val="nil"/>
          <w:bottom w:val="nil"/>
          <w:right w:val="nil"/>
          <w:between w:val="nil"/>
        </w:pBd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LEY 65 DE 1985</w:t>
      </w:r>
    </w:p>
    <w:p w14:paraId="269AE49B"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F40E407"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Después de 37 años de vigencia de la Ley 182 de 1948 y ante la necesidad de modificar y actualizar ciertos aspectos de la normativa, se expidió la Ley 16 de 1985. Esta Ley no buscaba derogar aspectos establecidos en la Ley 182 sino por el contrario, buscaba complementar aspectos no regulados en ella.</w:t>
      </w:r>
    </w:p>
    <w:p w14:paraId="1778B298"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0C6820BA"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Los principales aspectos novedosos que traía la norma, de acuerdo con Lina Margarita Nader (2008)</w:t>
      </w:r>
      <w:r>
        <w:rPr>
          <w:rFonts w:ascii="Times New Roman" w:eastAsia="Times New Roman" w:hAnsi="Times New Roman" w:cs="Times New Roman"/>
          <w:sz w:val="24"/>
          <w:szCs w:val="24"/>
          <w:vertAlign w:val="superscript"/>
        </w:rPr>
        <w:footnoteReference w:id="2"/>
      </w:r>
      <w:r>
        <w:rPr>
          <w:rFonts w:ascii="Times New Roman" w:eastAsia="Times New Roman" w:hAnsi="Times New Roman" w:cs="Times New Roman"/>
          <w:sz w:val="24"/>
          <w:szCs w:val="24"/>
        </w:rPr>
        <w:t xml:space="preserve">, son los siguientes:  </w:t>
      </w:r>
    </w:p>
    <w:p w14:paraId="11BC3931"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7CEADA6C" w14:textId="77777777" w:rsidR="00CE674C" w:rsidRDefault="00622F75">
      <w:pPr>
        <w:numPr>
          <w:ilvl w:val="0"/>
          <w:numId w:val="6"/>
        </w:num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Definición de Propiedad Horizontal</w:t>
      </w:r>
      <w:r>
        <w:rPr>
          <w:rFonts w:ascii="Times New Roman" w:eastAsia="Times New Roman" w:hAnsi="Times New Roman" w:cs="Times New Roman"/>
          <w:sz w:val="24"/>
          <w:szCs w:val="24"/>
        </w:rPr>
        <w:t>:La propiedad horizontal se define como un tipo de dominio en el que ciertas partes del inmueble son de propiedad exclusiva de los propietarios individuales, mientras que las áreas comunes están sujetas a la propiedad de una persona jurídica creada por la ley para administrar estos espacios comunes. (p.50)</w:t>
      </w:r>
    </w:p>
    <w:p w14:paraId="58CA6854" w14:textId="77777777" w:rsidR="00CE674C" w:rsidRDefault="00CE674C">
      <w:pPr>
        <w:ind w:left="720"/>
        <w:jc w:val="both"/>
        <w:rPr>
          <w:rFonts w:ascii="Times New Roman" w:eastAsia="Times New Roman" w:hAnsi="Times New Roman" w:cs="Times New Roman"/>
          <w:sz w:val="24"/>
          <w:szCs w:val="24"/>
        </w:rPr>
      </w:pPr>
    </w:p>
    <w:p w14:paraId="68114B89" w14:textId="77777777" w:rsidR="00CE674C" w:rsidRDefault="00622F75">
      <w:pPr>
        <w:numPr>
          <w:ilvl w:val="0"/>
          <w:numId w:val="6"/>
        </w:num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Creación de una Persona Jurídica Especial</w:t>
      </w:r>
      <w:r>
        <w:rPr>
          <w:rFonts w:ascii="Times New Roman" w:eastAsia="Times New Roman" w:hAnsi="Times New Roman" w:cs="Times New Roman"/>
          <w:sz w:val="24"/>
          <w:szCs w:val="24"/>
        </w:rPr>
        <w:t>: Bajo esta ley, la propiedad horizontal da lugar a una persona jurídica distinta de los propietarios individuales. Esta entidad sin ánimo de lucro se encarga de la administración y el cumplimiento de las normas y el reglamento de la propiedad horizontal, gestionando eficientemente los bienes comunes. (p.50)</w:t>
      </w:r>
    </w:p>
    <w:p w14:paraId="7A8BAB9F" w14:textId="77777777" w:rsidR="00CE674C" w:rsidRDefault="00CE674C">
      <w:pPr>
        <w:jc w:val="both"/>
        <w:rPr>
          <w:rFonts w:ascii="Times New Roman" w:eastAsia="Times New Roman" w:hAnsi="Times New Roman" w:cs="Times New Roman"/>
          <w:sz w:val="24"/>
          <w:szCs w:val="24"/>
        </w:rPr>
      </w:pPr>
    </w:p>
    <w:p w14:paraId="5B43DF55" w14:textId="77777777" w:rsidR="00CE674C" w:rsidRDefault="00622F75">
      <w:pPr>
        <w:numPr>
          <w:ilvl w:val="0"/>
          <w:numId w:val="6"/>
        </w:num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Desafectación de Bienes Comunes</w:t>
      </w:r>
      <w:r>
        <w:rPr>
          <w:rFonts w:ascii="Times New Roman" w:eastAsia="Times New Roman" w:hAnsi="Times New Roman" w:cs="Times New Roman"/>
          <w:sz w:val="24"/>
          <w:szCs w:val="24"/>
        </w:rPr>
        <w:t>: Los bienes comunes son, en principio, indivisibles e inenajenables. Sin embargo, la ley permite su desafectación si estos bienes ya no son necesarios para el uso común, siempre que esta decisión sea aprobada por al menos cuatro quintas partes de los votos en la asamblea general. (p.51)</w:t>
      </w:r>
    </w:p>
    <w:p w14:paraId="55DBA15C"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65CA2C53"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pesar de que esta norma no hizo hincapié en los aspectos de seguridad y convivencia, como sí lo hacía la Ley 182 de 1948, estableció un régimen sancionatorio a través del artículo 9, el cual señalaba lo siguiente: </w:t>
      </w:r>
    </w:p>
    <w:p w14:paraId="18134731"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369EF0E1" w14:textId="77777777" w:rsidR="00CE674C" w:rsidRDefault="00622F75">
      <w:pPr>
        <w:pBdr>
          <w:top w:val="nil"/>
          <w:left w:val="nil"/>
          <w:bottom w:val="nil"/>
          <w:right w:val="nil"/>
          <w:between w:val="nil"/>
        </w:pBdr>
        <w:ind w:left="72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Artículo 9. Sanciones.</w:t>
      </w:r>
      <w:r>
        <w:rPr>
          <w:rFonts w:ascii="Times New Roman" w:eastAsia="Times New Roman" w:hAnsi="Times New Roman" w:cs="Times New Roman"/>
          <w:i/>
          <w:sz w:val="24"/>
          <w:szCs w:val="24"/>
        </w:rPr>
        <w:t xml:space="preserve"> El Juez, a petición del administrador del inmueble o de cualquier propietario, podrá aplicar al infractor del reglamento o de las normas que rigen la propiedad horizontal, multa de cinco mil pesos ($ 5.000) a cien mil pesos ($ 100.000), sin perjuicio de las indemnizaciones y demás sanciones a que hubiere lugar (...)</w:t>
      </w:r>
    </w:p>
    <w:p w14:paraId="0A8BA58F" w14:textId="77777777" w:rsidR="00CE674C" w:rsidRDefault="00CE674C">
      <w:pPr>
        <w:pBdr>
          <w:top w:val="nil"/>
          <w:left w:val="nil"/>
          <w:bottom w:val="nil"/>
          <w:right w:val="nil"/>
          <w:between w:val="nil"/>
        </w:pBdr>
        <w:ind w:left="720"/>
        <w:jc w:val="both"/>
        <w:rPr>
          <w:rFonts w:ascii="Times New Roman" w:eastAsia="Times New Roman" w:hAnsi="Times New Roman" w:cs="Times New Roman"/>
          <w:sz w:val="24"/>
          <w:szCs w:val="24"/>
        </w:rPr>
      </w:pPr>
    </w:p>
    <w:p w14:paraId="2A5B0CCF"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Este artículo, subrayaba la necesidad de establecer consecuencias para las acciones que contravengan la convivencia y seguridad en las propiedades sometidas a este régimen, tal como se prevé en el respectivo reglamento de la copropiedad, con el fin de preservar la tranquilidad de los copropietarios. </w:t>
      </w:r>
    </w:p>
    <w:p w14:paraId="02071AF9"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65A277A7"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24D54087" w14:textId="77777777" w:rsidR="00CE674C" w:rsidRDefault="00622F75">
      <w:pPr>
        <w:pBdr>
          <w:top w:val="nil"/>
          <w:left w:val="nil"/>
          <w:bottom w:val="nil"/>
          <w:right w:val="nil"/>
          <w:between w:val="nil"/>
        </w:pBd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LEY 675 DE 2001 (Regulación Vigente)</w:t>
      </w:r>
    </w:p>
    <w:p w14:paraId="24193304" w14:textId="77777777" w:rsidR="00CE674C" w:rsidRDefault="00CE674C">
      <w:pPr>
        <w:pBdr>
          <w:top w:val="nil"/>
          <w:left w:val="nil"/>
          <w:bottom w:val="nil"/>
          <w:right w:val="nil"/>
          <w:between w:val="nil"/>
        </w:pBdr>
        <w:jc w:val="both"/>
        <w:rPr>
          <w:rFonts w:ascii="Times New Roman" w:eastAsia="Times New Roman" w:hAnsi="Times New Roman" w:cs="Times New Roman"/>
          <w:b/>
          <w:sz w:val="24"/>
          <w:szCs w:val="24"/>
        </w:rPr>
      </w:pPr>
    </w:p>
    <w:p w14:paraId="75C6EE3A"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Ley 675 de 2001 marcó el cierre del proceso de consolidación del régimen de propiedad horizontal en Colombia. Esta ley surgió para unificar el tratamiento de la propiedad que se había venido dando desde 1948, poniendo fin a la vigencia de normas divergentes sobre el mismo tema. De esta manera, se puede afirmar de manera concreta que la legislación actual define la propiedad horizontal como un modelo que combina derechos de propiedad exclusiva sobre bienes privados con derechos de copropiedad sobre el terreno y otros bienes comunes, </w:t>
      </w:r>
      <w:r>
        <w:rPr>
          <w:rFonts w:ascii="Times New Roman" w:eastAsia="Times New Roman" w:hAnsi="Times New Roman" w:cs="Times New Roman"/>
          <w:b/>
          <w:sz w:val="24"/>
          <w:szCs w:val="24"/>
          <w:u w:val="single"/>
        </w:rPr>
        <w:t>con el objetivo de garantizar la seguridad y la convivencia pacífica en los inmuebles sujetos a este régimen.</w:t>
      </w:r>
      <w:r>
        <w:rPr>
          <w:rFonts w:ascii="Times New Roman" w:eastAsia="Times New Roman" w:hAnsi="Times New Roman" w:cs="Times New Roman"/>
          <w:sz w:val="24"/>
          <w:szCs w:val="24"/>
        </w:rPr>
        <w:t xml:space="preserve"> </w:t>
      </w:r>
    </w:p>
    <w:p w14:paraId="6BAE15BD"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1084D871"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Así, la Ley 675 de 2001 establece una regulación especial para la propiedad horizontal en el ordenamiento jurídico colombiano, funcionando como una mezcla entre la propiedad individual o privada y la propiedad comunal; la primera corresponde a los bienes específicos de cada propietario registrados con matrícula inmobiliaria, y la segunda abarca las áreas comunes dentro del régimen de propiedad horizontal. (Ponencia Primer Debate, PL 397/2024)</w:t>
      </w:r>
      <w:r>
        <w:rPr>
          <w:rFonts w:ascii="Times New Roman" w:eastAsia="Times New Roman" w:hAnsi="Times New Roman" w:cs="Times New Roman"/>
          <w:sz w:val="24"/>
          <w:szCs w:val="24"/>
          <w:vertAlign w:val="superscript"/>
        </w:rPr>
        <w:footnoteReference w:id="3"/>
      </w:r>
      <w:r>
        <w:rPr>
          <w:rFonts w:ascii="Times New Roman" w:eastAsia="Times New Roman" w:hAnsi="Times New Roman" w:cs="Times New Roman"/>
          <w:sz w:val="24"/>
          <w:szCs w:val="24"/>
        </w:rPr>
        <w:t xml:space="preserve"> </w:t>
      </w:r>
    </w:p>
    <w:p w14:paraId="5370265D"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107CAA49"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Finalmente, es menester señalar que la norma antes referenciada se encuentra actualmente en proceso de modificación y actualización a través del proyecto de Ley 397 de 2024 en el Congreso de la República. De este proyecto de reforma a la propiedad horizontal, se destaca el artículo 58 B, que establece la obligatoriedad de implementar un protocolo para los casos de violencia intrafamiliar que se presenten dentro de las copropiedades. El objetivo de este protocolo es contribuir a la sensibilización de los residentes y administradores acerca de las posibles situaciones de violencia que puedan ocurrir, así como también tener conocimiento de las rutas de atención de este tipo de violencias.</w:t>
      </w:r>
      <w:r>
        <w:rPr>
          <w:rFonts w:ascii="Times New Roman" w:eastAsia="Times New Roman" w:hAnsi="Times New Roman" w:cs="Times New Roman"/>
          <w:sz w:val="24"/>
          <w:szCs w:val="24"/>
          <w:vertAlign w:val="superscript"/>
        </w:rPr>
        <w:footnoteReference w:id="4"/>
      </w:r>
    </w:p>
    <w:p w14:paraId="199D6699"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4675B846" w14:textId="77777777" w:rsidR="00CE674C" w:rsidRDefault="00622F75">
      <w:pPr>
        <w:pBdr>
          <w:top w:val="nil"/>
          <w:left w:val="nil"/>
          <w:bottom w:val="nil"/>
          <w:right w:val="nil"/>
          <w:between w:val="nil"/>
        </w:pBdr>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ii. </w:t>
      </w:r>
      <w:r>
        <w:rPr>
          <w:rFonts w:ascii="Times New Roman" w:eastAsia="Times New Roman" w:hAnsi="Times New Roman" w:cs="Times New Roman"/>
          <w:b/>
          <w:sz w:val="24"/>
          <w:szCs w:val="24"/>
        </w:rPr>
        <w:t xml:space="preserve">Seguridad en copropiedades sujetas al régimen de propiedad Horizontal </w:t>
      </w:r>
    </w:p>
    <w:p w14:paraId="2D2B3437" w14:textId="77777777" w:rsidR="00CE674C" w:rsidRDefault="00CE674C">
      <w:pPr>
        <w:pBdr>
          <w:top w:val="nil"/>
          <w:left w:val="nil"/>
          <w:bottom w:val="nil"/>
          <w:right w:val="nil"/>
          <w:between w:val="nil"/>
        </w:pBdr>
        <w:rPr>
          <w:rFonts w:ascii="Times New Roman" w:eastAsia="Times New Roman" w:hAnsi="Times New Roman" w:cs="Times New Roman"/>
          <w:sz w:val="24"/>
          <w:szCs w:val="24"/>
        </w:rPr>
      </w:pPr>
    </w:p>
    <w:p w14:paraId="6D7EF333"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 el análisis de la Ley 675 de 2001, en relación con las condiciones de seguridad de los habitantes de las copropiedades, se evidencian algunos aspectos en particular: </w:t>
      </w:r>
    </w:p>
    <w:p w14:paraId="3A44E7D6"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007EBD69" w14:textId="77777777" w:rsidR="00CE674C" w:rsidRDefault="00622F7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primer lugar, el artículo 5 de la ley de propiedad horizontal establece que el reglamento de propiedad horizontal debe incluir, como mínimo, las especificaciones de construcción y las condiciones de seguridad y salubridad del edificio o conjunto.</w:t>
      </w:r>
    </w:p>
    <w:p w14:paraId="19350F42" w14:textId="77777777" w:rsidR="00CE674C" w:rsidRDefault="00CE674C">
      <w:pPr>
        <w:jc w:val="both"/>
        <w:rPr>
          <w:rFonts w:ascii="Times New Roman" w:eastAsia="Times New Roman" w:hAnsi="Times New Roman" w:cs="Times New Roman"/>
          <w:sz w:val="24"/>
          <w:szCs w:val="24"/>
        </w:rPr>
      </w:pPr>
    </w:p>
    <w:p w14:paraId="23970D9A" w14:textId="77777777" w:rsidR="00CE674C" w:rsidRDefault="00622F7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su parte, el artículo 18, que trata las obligaciones de los propietarios con respecto a los bienes de dominio privado, se señala que deben abstenerse de realizar actos que comprometan la seguridad o solidez del edificio o conjunto. Además, deben evitar producir ruidos, molestias o actos que perturben la tranquilidad de los demás propietarios u ocupantes, así como afectar la salud pública.</w:t>
      </w:r>
    </w:p>
    <w:p w14:paraId="74F19BE1" w14:textId="77777777" w:rsidR="00CE674C" w:rsidRDefault="00CE674C">
      <w:pPr>
        <w:jc w:val="both"/>
        <w:rPr>
          <w:rFonts w:ascii="Times New Roman" w:eastAsia="Times New Roman" w:hAnsi="Times New Roman" w:cs="Times New Roman"/>
          <w:sz w:val="24"/>
          <w:szCs w:val="24"/>
        </w:rPr>
      </w:pPr>
    </w:p>
    <w:p w14:paraId="73F60181" w14:textId="77777777" w:rsidR="00CE674C" w:rsidRDefault="00622F7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Finalmente, el artículo 29 establece que los propietarios de bienes privados en un edificio o conjunto están obligados a contribuir al pago de las expensas necesarias. Estas expensas se generan por la administración y la prestación de servicios comunes esenciales para la existencia, seguridad y conservación de los bienes comunes, de acuerdo con el reglamento de propiedad horizontal.</w:t>
      </w:r>
    </w:p>
    <w:p w14:paraId="3FA4B6B6"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2D023FE8" w14:textId="77777777" w:rsidR="00CE674C" w:rsidRDefault="00622F75">
      <w:pPr>
        <w:pBdr>
          <w:top w:val="nil"/>
          <w:left w:val="nil"/>
          <w:bottom w:val="nil"/>
          <w:right w:val="nil"/>
          <w:between w:val="nil"/>
        </w:pBdr>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En ese sentido, la ley de propiedad horizontal, al abordar aspectos relacionados con la seguridad y convivencia, se limita exclusivamente a las condiciones de seguridad de las estructuras y al mantenimiento de las áreas comunes. Sin embargo, esta normativa carece de estrategias y protocolos para atender casos en los que se presenten circunstancias delictivas dentro de las copropiedades, y que requieran algún tipo de articulación con las autoridades.</w:t>
      </w:r>
    </w:p>
    <w:p w14:paraId="4A5A6E50" w14:textId="77777777" w:rsidR="00CE674C" w:rsidRDefault="00CE674C">
      <w:pPr>
        <w:pBdr>
          <w:top w:val="nil"/>
          <w:left w:val="nil"/>
          <w:bottom w:val="nil"/>
          <w:right w:val="nil"/>
          <w:between w:val="nil"/>
        </w:pBdr>
        <w:jc w:val="both"/>
        <w:rPr>
          <w:rFonts w:ascii="Times New Roman" w:eastAsia="Times New Roman" w:hAnsi="Times New Roman" w:cs="Times New Roman"/>
          <w:color w:val="333333"/>
          <w:sz w:val="24"/>
          <w:szCs w:val="24"/>
        </w:rPr>
      </w:pPr>
    </w:p>
    <w:p w14:paraId="0A46D466" w14:textId="77777777" w:rsidR="00CE674C" w:rsidRDefault="00622F75">
      <w:pPr>
        <w:pBdr>
          <w:top w:val="nil"/>
          <w:left w:val="nil"/>
          <w:bottom w:val="nil"/>
          <w:right w:val="nil"/>
          <w:between w:val="nil"/>
        </w:pBdr>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 xml:space="preserve">De acuerdo con cifras del Instituto Distrital de la Participación y de la Acción comunal, actualmente la ciudad de Bogotá D.C., cuenta con 14.063 copropiedades sujetas al régimen de propiedad horizontal. Adicionalmente, </w:t>
      </w:r>
      <w:r>
        <w:rPr>
          <w:rFonts w:ascii="Times New Roman" w:eastAsia="Times New Roman" w:hAnsi="Times New Roman" w:cs="Times New Roman"/>
          <w:sz w:val="24"/>
          <w:szCs w:val="24"/>
        </w:rPr>
        <w:t xml:space="preserve">según la Unidad Administrativa Especial de Catastro Distrital (UAECD) en Bogotá (2018), cada vez hay más propiedades horizontales, incluso en barrios donde antes no era común. Estas propiedades horizontales también ofrecen un equipamiento cada vez mejor. Estos equipamientos, que generalmente corresponden a bienes de uso común a los que hace referencia la UAECD, contribuyen a una mejor calidad de vida para los ciudadanos. Por supuesto, para preservarlos y aumentar esa calidad de vida, es fundamental establecer medidas que promuevan la seguridad.  </w:t>
      </w:r>
      <w:r>
        <w:rPr>
          <w:rFonts w:ascii="Times New Roman" w:eastAsia="Times New Roman" w:hAnsi="Times New Roman" w:cs="Times New Roman"/>
          <w:color w:val="333333"/>
          <w:sz w:val="24"/>
          <w:szCs w:val="24"/>
        </w:rPr>
        <w:t xml:space="preserve">Estos datos  revelan una ciudad en crecimiento con una considerable densidad de vivienda en propiedad horizontal, lo que plantea oportunidades y desafíos en términos de administración, seguridad y  convivencia </w:t>
      </w:r>
    </w:p>
    <w:p w14:paraId="5A4EFEA8" w14:textId="77777777" w:rsidR="00CE674C" w:rsidRDefault="00CE674C">
      <w:pPr>
        <w:pBdr>
          <w:top w:val="nil"/>
          <w:left w:val="nil"/>
          <w:bottom w:val="nil"/>
          <w:right w:val="nil"/>
          <w:between w:val="nil"/>
        </w:pBdr>
        <w:jc w:val="both"/>
        <w:rPr>
          <w:rFonts w:ascii="Times New Roman" w:eastAsia="Times New Roman" w:hAnsi="Times New Roman" w:cs="Times New Roman"/>
          <w:color w:val="333333"/>
          <w:sz w:val="24"/>
          <w:szCs w:val="24"/>
        </w:rPr>
      </w:pPr>
    </w:p>
    <w:p w14:paraId="238C5650" w14:textId="77777777" w:rsidR="00CE674C" w:rsidRDefault="00622F75">
      <w:pPr>
        <w:pBdr>
          <w:top w:val="nil"/>
          <w:left w:val="nil"/>
          <w:bottom w:val="nil"/>
          <w:right w:val="nil"/>
          <w:between w:val="nil"/>
        </w:pBdr>
        <w:jc w:val="center"/>
        <w:rPr>
          <w:rFonts w:ascii="Times New Roman" w:eastAsia="Times New Roman" w:hAnsi="Times New Roman" w:cs="Times New Roman"/>
          <w:b/>
          <w:color w:val="333333"/>
          <w:sz w:val="24"/>
          <w:szCs w:val="24"/>
        </w:rPr>
      </w:pPr>
      <w:r>
        <w:rPr>
          <w:rFonts w:ascii="Times New Roman" w:eastAsia="Times New Roman" w:hAnsi="Times New Roman" w:cs="Times New Roman"/>
          <w:b/>
          <w:noProof/>
          <w:color w:val="333333"/>
          <w:sz w:val="24"/>
          <w:szCs w:val="24"/>
          <w:lang w:val="es-419" w:eastAsia="es-419"/>
        </w:rPr>
        <w:drawing>
          <wp:inline distT="114300" distB="114300" distL="114300" distR="114300" wp14:anchorId="77F09548" wp14:editId="639BEC08">
            <wp:extent cx="3276600" cy="3571875"/>
            <wp:effectExtent l="0" t="0" r="0" b="0"/>
            <wp:docPr id="190204932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3276600" cy="3571875"/>
                    </a:xfrm>
                    <a:prstGeom prst="rect">
                      <a:avLst/>
                    </a:prstGeom>
                    <a:ln/>
                  </pic:spPr>
                </pic:pic>
              </a:graphicData>
            </a:graphic>
          </wp:inline>
        </w:drawing>
      </w:r>
    </w:p>
    <w:p w14:paraId="59D80863" w14:textId="77777777" w:rsidR="00CE674C" w:rsidRDefault="00622F75">
      <w:pPr>
        <w:pBdr>
          <w:top w:val="nil"/>
          <w:left w:val="nil"/>
          <w:bottom w:val="nil"/>
          <w:right w:val="nil"/>
          <w:between w:val="nil"/>
        </w:pBdr>
        <w:jc w:val="center"/>
        <w:rPr>
          <w:rFonts w:ascii="Times New Roman" w:eastAsia="Times New Roman" w:hAnsi="Times New Roman" w:cs="Times New Roman"/>
          <w:color w:val="333333"/>
          <w:sz w:val="24"/>
          <w:szCs w:val="24"/>
        </w:rPr>
      </w:pPr>
      <w:r>
        <w:rPr>
          <w:rFonts w:ascii="Times New Roman" w:eastAsia="Times New Roman" w:hAnsi="Times New Roman" w:cs="Times New Roman"/>
          <w:b/>
          <w:color w:val="333333"/>
          <w:sz w:val="24"/>
          <w:szCs w:val="24"/>
        </w:rPr>
        <w:t xml:space="preserve">Fuente: </w:t>
      </w:r>
      <w:r>
        <w:rPr>
          <w:rFonts w:ascii="Times New Roman" w:eastAsia="Times New Roman" w:hAnsi="Times New Roman" w:cs="Times New Roman"/>
          <w:color w:val="333333"/>
          <w:sz w:val="24"/>
          <w:szCs w:val="24"/>
        </w:rPr>
        <w:t>IDPAC (2024)</w:t>
      </w:r>
    </w:p>
    <w:p w14:paraId="4FC6A930" w14:textId="77777777" w:rsidR="00CE674C" w:rsidRDefault="00CE674C">
      <w:pPr>
        <w:pBdr>
          <w:top w:val="nil"/>
          <w:left w:val="nil"/>
          <w:bottom w:val="nil"/>
          <w:right w:val="nil"/>
          <w:between w:val="nil"/>
        </w:pBdr>
        <w:jc w:val="center"/>
        <w:rPr>
          <w:rFonts w:ascii="Times New Roman" w:eastAsia="Times New Roman" w:hAnsi="Times New Roman" w:cs="Times New Roman"/>
          <w:color w:val="333333"/>
          <w:sz w:val="24"/>
          <w:szCs w:val="24"/>
        </w:rPr>
      </w:pPr>
    </w:p>
    <w:p w14:paraId="13556D82" w14:textId="77777777" w:rsidR="00CE674C" w:rsidRDefault="00622F75">
      <w:pPr>
        <w:pBdr>
          <w:top w:val="nil"/>
          <w:left w:val="nil"/>
          <w:bottom w:val="nil"/>
          <w:right w:val="nil"/>
          <w:between w:val="nil"/>
        </w:pBdr>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 xml:space="preserve">En adición a lo anterior, según  cifras de la Policía Nacional en Bogotá para el año 2024 se han presentado más de 192 casos de hurto a residencia en propiedades horizontales, siendo las localidades más afectadas Usaquén con 51 casos y un incremento del 65% frente al 2023 y Suba con 29 casos, la modalidad más frecuente usada en este delito es el uso de llave maestra. </w:t>
      </w:r>
    </w:p>
    <w:p w14:paraId="4F56CA40" w14:textId="77777777" w:rsidR="00CE674C" w:rsidRDefault="00CE674C">
      <w:pPr>
        <w:pBdr>
          <w:top w:val="nil"/>
          <w:left w:val="nil"/>
          <w:bottom w:val="nil"/>
          <w:right w:val="nil"/>
          <w:between w:val="nil"/>
        </w:pBdr>
        <w:jc w:val="both"/>
        <w:rPr>
          <w:rFonts w:ascii="Times New Roman" w:eastAsia="Times New Roman" w:hAnsi="Times New Roman" w:cs="Times New Roman"/>
          <w:color w:val="333333"/>
          <w:sz w:val="24"/>
          <w:szCs w:val="24"/>
        </w:rPr>
      </w:pPr>
    </w:p>
    <w:p w14:paraId="4F99D1AA" w14:textId="77777777" w:rsidR="00CE674C" w:rsidRDefault="00622F75">
      <w:pPr>
        <w:pBdr>
          <w:top w:val="nil"/>
          <w:left w:val="nil"/>
          <w:bottom w:val="nil"/>
          <w:right w:val="nil"/>
          <w:between w:val="nil"/>
        </w:pBdr>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 xml:space="preserve">La situación es aún más compleja si observamos los datos de </w:t>
      </w:r>
      <w:r>
        <w:rPr>
          <w:rFonts w:ascii="Times New Roman" w:eastAsia="Times New Roman" w:hAnsi="Times New Roman" w:cs="Times New Roman"/>
          <w:b/>
          <w:color w:val="333333"/>
          <w:sz w:val="24"/>
          <w:szCs w:val="24"/>
        </w:rPr>
        <w:t>violencia intrafamiliar</w:t>
      </w:r>
      <w:r>
        <w:rPr>
          <w:rFonts w:ascii="Times New Roman" w:eastAsia="Times New Roman" w:hAnsi="Times New Roman" w:cs="Times New Roman"/>
          <w:color w:val="333333"/>
          <w:sz w:val="24"/>
          <w:szCs w:val="24"/>
        </w:rPr>
        <w:t xml:space="preserve"> de la ciudad pues según la Policía Nacional por medio del Sistema de Información Estadístico, Delincuencial, Contravencional y Operativo – SIEDCO el cual documenta los hechos delictivos como violencia intrafamiliar, lesiones personales y otras conductas punibles registró en un periodo del 01 de enero al 30 de junio de los años 2023 y 2024 los siguientes datos relacionados con violencia doméstica y lesiones personales, buscando en ese sentido analizar la frecuencia de estos hechos en Bogotá.</w:t>
      </w:r>
    </w:p>
    <w:p w14:paraId="5B0D4D7C" w14:textId="77777777" w:rsidR="00CE674C" w:rsidRDefault="00622F75">
      <w:pPr>
        <w:spacing w:before="240" w:after="240"/>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 xml:space="preserve">La violencia intrafamiliar se refiere a cualquier tipo de abuso, maltrato o agresión que ocurre dentro del entorno familiar. Puede manifestarse en diferentes formas, incluyendo física, emocional, psicológica, sexual y económica. Esta violencia puede ser ejercida entre miembros de una misma familia, como parejas, padres e hijos, hermanos, u otros parientes que conviven en el mismo hogar. El SIEDCO registró un aumento de 114% de violencia intrafamiliar en Bogotá con una variación absoluta de 15.156 hechos, es decir que para el 2024 se presentaron 28.448 casos y en el 2023 se registraron 13.292 hechos, las localidades con mayor participación son Suba, Kennedy, Ciudad Bolívar y Bosa.  Este tipo de violencia tiene graves consecuencias para las víctimas, tanto a corto como a largo plazo, afectando su bienestar físico y emocional.  El incremento de estos casos en la Ciudad Capital refleja la falta de herramientas de prevención y atención dispuestas por las autoridades. </w:t>
      </w:r>
    </w:p>
    <w:p w14:paraId="28626903" w14:textId="77777777" w:rsidR="00CE674C" w:rsidRDefault="00622F75">
      <w:pPr>
        <w:spacing w:before="240" w:after="240"/>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 xml:space="preserve">Frente a estas circunstancias, donde los residentes de las copropiedades se vuelven más vulnerables, es indispensable implementar y repensar las estrategias de seguridad al interior de las copropiedades. Estas estrategias deben ir más allá del cuidado de las estructuras y las áreas comunes, y enfocarse principalmente en consolidar una política que fortalezca la seguridad de los habitantes. Es crucial desarrollar e implementar protocolos para la prevención de la violencia y garantizar una correcta articulación entre administradores, residentes y autoridades, de manera que pueda prevenir y abordar adecuadamente los escenarios delictivos que puedan llegar a presentarse. </w:t>
      </w:r>
    </w:p>
    <w:p w14:paraId="62635F32" w14:textId="77777777" w:rsidR="00CE674C" w:rsidRDefault="00622F75">
      <w:pPr>
        <w:pBdr>
          <w:top w:val="nil"/>
          <w:left w:val="nil"/>
          <w:bottom w:val="nil"/>
          <w:right w:val="nil"/>
          <w:between w:val="nil"/>
        </w:pBd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iii. Necesidad del proyecto </w:t>
      </w:r>
    </w:p>
    <w:p w14:paraId="1947E978" w14:textId="77777777" w:rsidR="00CE674C" w:rsidRDefault="00CE674C">
      <w:pPr>
        <w:pBdr>
          <w:top w:val="nil"/>
          <w:left w:val="nil"/>
          <w:bottom w:val="nil"/>
          <w:right w:val="nil"/>
          <w:between w:val="nil"/>
        </w:pBdr>
        <w:jc w:val="center"/>
        <w:rPr>
          <w:rFonts w:ascii="Times New Roman" w:eastAsia="Times New Roman" w:hAnsi="Times New Roman" w:cs="Times New Roman"/>
          <w:sz w:val="24"/>
          <w:szCs w:val="24"/>
        </w:rPr>
      </w:pPr>
    </w:p>
    <w:p w14:paraId="76D44E12"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 la ciudad de Bogotá, no existe ningún acuerdo distrital destinado a aminorar los escenarios delictivos que, de acuerdo con las cifras presentadas anteriormente, con frecuencia ocurren en las copropiedades sujetas al régimen de propiedad horizontal. Además, como se mencionó, la Ley 675 de 2001 no contempló este tipo de situaciones. Por lo tanto, ante esta ausencia normativa, surge la necesidad de este proyecto de acuerdo. </w:t>
      </w:r>
    </w:p>
    <w:p w14:paraId="49C4128F"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0208C1E8"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 proyecto de acuerdo tendrá como objetivo establecer medidas para promover y garantizar la seguridad en las copropiedades sujetas al régimen de propiedad horizontal, con el fin de mejorar la protección de los residentes y sus bienes. un Protocolo de atención ante los hechos que constituyen violencia intrafamiliar, coordinación entre copropiedades y autoridades distritales, interoperabilidad de Sistemas de Videovigilancia en Conjuntos Residenciales, entre otras, son algunas de las medidas propuestas para la materialización del objeto del presente proyecto de acuerdo. La Administración distrital, en específico el Instituto Distrital para la Participación y la Acción Comunal (IDPAC) y la Secretaría Distrital de Seguridad Convivencia y Justicia de acuerdo con su respectiva misionalidad, serán las entidades responsables de la implementación del proyecto. </w:t>
      </w:r>
    </w:p>
    <w:p w14:paraId="25039F79"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1709B5A9"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esta manera, la Ciudad de Bogotá contará con una reglamentación sólida que permita no solo prevenir los posibles escenarios delictivos que se presenten al interior de las copropiedades, sino principalmente reaccionar de forma oportuna a tales incidentes.  </w:t>
      </w:r>
    </w:p>
    <w:p w14:paraId="6A8AD08F"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6A6FF8AE"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otra parte, la Secretaría Distrital de Seguridad, Convivencia y Justicia actualmente cuenta con 5.828 cámaras de videovigilancia distribuidas en las localidades de Bogotá. Sin embargo, un número significativo de estas cámaras lleva en funcionamiento más de cinco años, y algunas han quedado fuera de servicio debido a daños en componentes y repuestos de alto costo y difícil obtención en el mercado por estar descontinuados. Este sistema de videovigilancia es estratégico para enfrentar los fenómenos criminales que afectan la convivencia y la seguridad ciudadana, y es fundamental para el monitoreo, control y supervisión del servicio policial brindado por los cuadrantes. No obstante, las cámaras tipo domo PTZ actuales no cubren los 360 grados en la escena de monitoreo y grabación, lo que impide registrar algunos eventos e incidentes de seguridad, dificultando la reacción, el control y la investigación oportuna por parte de la Policía Metropolitana de Bogotá (MEBOG).</w:t>
      </w:r>
    </w:p>
    <w:p w14:paraId="64A41947"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066AB27B"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Ante esta situación, es necesario implementar cámaras pertenecientes a conjuntos residenciales que operan de manera efectiva y que pueden integrarse al Centro de Comando, Control, Comunicaciones y Cómputo (C4). Esta integración no solo mejorará la cobertura y el alcance del sistema de videovigilancia, sino que también fortalecerá la confianza ciudadana en la seguridad y las instituciones. Al incorporar las cámaras de los conjuntos residenciales, se podrán registrar más eventos de manera oportuna, permitiendo una reacción y control más efectivos por parte de las autoridades, y promoviendo una mayor colaboración entre la comunidad y la policía en la lucha contra la criminalidad y la mejora de la convivencia ciudadana.</w:t>
      </w:r>
    </w:p>
    <w:p w14:paraId="464DCB8F"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3187139A"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2607CEF1" w14:textId="77777777" w:rsidR="00CE674C" w:rsidRDefault="00622F75">
      <w:pPr>
        <w:numPr>
          <w:ilvl w:val="0"/>
          <w:numId w:val="2"/>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CONTRIBUCIÓN A LOS OBJETIVOS DE DESARROLLO SOSTENIBLE (ODS) </w:t>
      </w:r>
    </w:p>
    <w:p w14:paraId="149ABEC8" w14:textId="77777777" w:rsidR="00CE674C" w:rsidRDefault="00CE674C">
      <w:pPr>
        <w:pBdr>
          <w:top w:val="nil"/>
          <w:left w:val="nil"/>
          <w:bottom w:val="nil"/>
          <w:right w:val="nil"/>
          <w:between w:val="nil"/>
        </w:pBdr>
        <w:jc w:val="both"/>
        <w:rPr>
          <w:rFonts w:ascii="Times New Roman" w:eastAsia="Times New Roman" w:hAnsi="Times New Roman" w:cs="Times New Roman"/>
          <w:b/>
          <w:sz w:val="24"/>
          <w:szCs w:val="24"/>
        </w:rPr>
      </w:pPr>
    </w:p>
    <w:p w14:paraId="0F95C039" w14:textId="77777777" w:rsidR="00CE674C" w:rsidRDefault="00622F75">
      <w:pPr>
        <w:pBdr>
          <w:top w:val="nil"/>
          <w:left w:val="nil"/>
          <w:bottom w:val="nil"/>
          <w:right w:val="nil"/>
          <w:between w:val="nil"/>
        </w:pBd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El Objetivo 16 pretende promover sociedades pacíficas e inclusivas, facilitar el acceso a la justicia para toda la población y crear instituciones eficaces, responsables e inclusivas a todos los niveles.</w:t>
      </w:r>
    </w:p>
    <w:p w14:paraId="7EFBFBB5" w14:textId="77777777" w:rsidR="00CE674C" w:rsidRDefault="00CE674C">
      <w:pPr>
        <w:pBdr>
          <w:top w:val="nil"/>
          <w:left w:val="nil"/>
          <w:bottom w:val="nil"/>
          <w:right w:val="nil"/>
          <w:between w:val="nil"/>
        </w:pBdr>
        <w:jc w:val="both"/>
        <w:rPr>
          <w:rFonts w:ascii="Times New Roman" w:eastAsia="Times New Roman" w:hAnsi="Times New Roman" w:cs="Times New Roman"/>
          <w:i/>
          <w:sz w:val="24"/>
          <w:szCs w:val="24"/>
        </w:rPr>
      </w:pPr>
    </w:p>
    <w:p w14:paraId="23F44704"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Las medidas para fortalecer la seguridad en los conjuntos residenciales de Bogotá contribuyen significativamente a los Objetivos de Desarrollo Sostenible (ODS), específicamente al Objetivo 16, que busca promover sociedades pacíficas e inclusivas, facilitar el acceso a la justicia para todos y crear instituciones eficaces, responsables e inclusivas. Al integrar las cámaras de videovigilancia de los conjuntos residenciales con el sistema central del C4, se mejora la capacidad de monitoreo y respuesta ante incidentes delictivos, promoviendo así una sociedad más segura y pacífica. Esta integración también facilita la justicia al permitir una reacción más rápida y efectiva por parte de las autoridades, lo cual es esencial para la resolución de delitos y la protección de los derechos de los ciudadanos.</w:t>
      </w:r>
    </w:p>
    <w:p w14:paraId="6D552C75" w14:textId="77777777" w:rsidR="00CE674C" w:rsidRDefault="00CE674C">
      <w:pPr>
        <w:pBdr>
          <w:top w:val="nil"/>
          <w:left w:val="nil"/>
          <w:bottom w:val="nil"/>
          <w:right w:val="nil"/>
          <w:between w:val="nil"/>
        </w:pBdr>
        <w:ind w:left="720"/>
        <w:jc w:val="both"/>
        <w:rPr>
          <w:rFonts w:ascii="Times New Roman" w:eastAsia="Times New Roman" w:hAnsi="Times New Roman" w:cs="Times New Roman"/>
          <w:b/>
          <w:sz w:val="24"/>
          <w:szCs w:val="24"/>
        </w:rPr>
      </w:pPr>
    </w:p>
    <w:p w14:paraId="779773B2" w14:textId="77777777" w:rsidR="00CE674C" w:rsidRDefault="00622F75">
      <w:pPr>
        <w:pBdr>
          <w:top w:val="nil"/>
          <w:left w:val="nil"/>
          <w:bottom w:val="nil"/>
          <w:right w:val="nil"/>
          <w:between w:val="nil"/>
        </w:pBdr>
        <w:ind w:left="72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16.7.</w:t>
      </w:r>
      <w:r>
        <w:rPr>
          <w:rFonts w:ascii="Times New Roman" w:eastAsia="Times New Roman" w:hAnsi="Times New Roman" w:cs="Times New Roman"/>
          <w:i/>
          <w:sz w:val="24"/>
          <w:szCs w:val="24"/>
        </w:rPr>
        <w:t xml:space="preserve"> Garantizar la adopción en todos los niveles de decisiones inclusivas, participativas y representativas que respondan a las necesidades</w:t>
      </w:r>
    </w:p>
    <w:p w14:paraId="083E62C9" w14:textId="77777777" w:rsidR="00CE674C" w:rsidRDefault="00CE674C">
      <w:pPr>
        <w:pBdr>
          <w:top w:val="nil"/>
          <w:left w:val="nil"/>
          <w:bottom w:val="nil"/>
          <w:right w:val="nil"/>
          <w:between w:val="nil"/>
        </w:pBdr>
        <w:ind w:left="720"/>
        <w:jc w:val="both"/>
        <w:rPr>
          <w:rFonts w:ascii="Times New Roman" w:eastAsia="Times New Roman" w:hAnsi="Times New Roman" w:cs="Times New Roman"/>
          <w:i/>
          <w:sz w:val="24"/>
          <w:szCs w:val="24"/>
        </w:rPr>
      </w:pPr>
    </w:p>
    <w:p w14:paraId="5C607AE1"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Las iniciativas que fomentan la colaboración entre los copropietarios y las instituciones distritales y la Fuerza Pública, así como los programas de vigilancia comunitaria y capacitaciones en seguridad, promueven la adopción de decisiones inclusivas, participativas y representativas. Estos programas garantizan que las decisiones de seguridad respondan a las necesidades reales de la comunidad, alineándose con la meta 16.7 del ODS. </w:t>
      </w:r>
    </w:p>
    <w:p w14:paraId="7C56FCFA"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3033EA99" w14:textId="77777777" w:rsidR="00CE674C" w:rsidRDefault="00622F75">
      <w:pPr>
        <w:pBdr>
          <w:top w:val="nil"/>
          <w:left w:val="nil"/>
          <w:bottom w:val="nil"/>
          <w:right w:val="nil"/>
          <w:between w:val="nil"/>
        </w:pBdr>
        <w:ind w:left="72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 xml:space="preserve">16.8. </w:t>
      </w:r>
      <w:r>
        <w:rPr>
          <w:rFonts w:ascii="Times New Roman" w:eastAsia="Times New Roman" w:hAnsi="Times New Roman" w:cs="Times New Roman"/>
          <w:i/>
          <w:sz w:val="24"/>
          <w:szCs w:val="24"/>
        </w:rPr>
        <w:t>Ampliar y fortalecer la participación de los países en desarrollo en las instituciones de gobernanza mundial</w:t>
      </w:r>
    </w:p>
    <w:p w14:paraId="52BBB916" w14:textId="77777777" w:rsidR="00CE674C" w:rsidRDefault="00CE674C">
      <w:pPr>
        <w:pBdr>
          <w:top w:val="nil"/>
          <w:left w:val="nil"/>
          <w:bottom w:val="nil"/>
          <w:right w:val="nil"/>
          <w:between w:val="nil"/>
        </w:pBdr>
        <w:ind w:left="720"/>
        <w:jc w:val="both"/>
        <w:rPr>
          <w:rFonts w:ascii="Times New Roman" w:eastAsia="Times New Roman" w:hAnsi="Times New Roman" w:cs="Times New Roman"/>
          <w:i/>
          <w:sz w:val="24"/>
          <w:szCs w:val="24"/>
        </w:rPr>
      </w:pPr>
    </w:p>
    <w:p w14:paraId="06B8621A"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Además, fortalecer la participación comunitaria y mejorar la articulación con las autoridades locales contribuye a la construcción de instituciones más eficaces, responsables e inclusivas a nivel local, lo que a su vez fortalece las bases para una gobernanza más robusta y participativa en todos los niveles, incluyendo la meta 16.8 de ampliar y fortalecer la participación en las instituciones de gobernanza. De esta manera, estas medidas no solo mejoran la seguridad local, sino que también contribuyen al desarrollo sostenible y a la creación de sociedades más justas y equitativas.</w:t>
      </w:r>
    </w:p>
    <w:p w14:paraId="6A984281" w14:textId="77777777" w:rsidR="00CE674C" w:rsidRDefault="00CE674C">
      <w:pPr>
        <w:pBdr>
          <w:top w:val="nil"/>
          <w:left w:val="nil"/>
          <w:bottom w:val="nil"/>
          <w:right w:val="nil"/>
          <w:between w:val="nil"/>
        </w:pBdr>
        <w:jc w:val="both"/>
        <w:rPr>
          <w:rFonts w:ascii="Times New Roman" w:eastAsia="Times New Roman" w:hAnsi="Times New Roman" w:cs="Times New Roman"/>
          <w:i/>
          <w:sz w:val="24"/>
          <w:szCs w:val="24"/>
        </w:rPr>
      </w:pPr>
    </w:p>
    <w:p w14:paraId="6E3C3E81" w14:textId="77777777" w:rsidR="00CE674C" w:rsidRDefault="00CE674C">
      <w:pPr>
        <w:pBdr>
          <w:top w:val="nil"/>
          <w:left w:val="nil"/>
          <w:bottom w:val="nil"/>
          <w:right w:val="nil"/>
          <w:between w:val="nil"/>
        </w:pBdr>
        <w:jc w:val="both"/>
        <w:rPr>
          <w:rFonts w:ascii="Times New Roman" w:eastAsia="Times New Roman" w:hAnsi="Times New Roman" w:cs="Times New Roman"/>
          <w:color w:val="000000"/>
          <w:sz w:val="24"/>
          <w:szCs w:val="24"/>
        </w:rPr>
      </w:pPr>
    </w:p>
    <w:p w14:paraId="1836CD6E" w14:textId="77777777" w:rsidR="00CE674C" w:rsidRDefault="00622F75">
      <w:pPr>
        <w:numPr>
          <w:ilvl w:val="0"/>
          <w:numId w:val="2"/>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RELACIÓN CON EL PLAN DISTRITAL DE DESARROLLO. </w:t>
      </w:r>
    </w:p>
    <w:p w14:paraId="0973C477" w14:textId="77777777" w:rsidR="00CE674C" w:rsidRDefault="00CE674C">
      <w:pPr>
        <w:pBdr>
          <w:top w:val="nil"/>
          <w:left w:val="nil"/>
          <w:bottom w:val="nil"/>
          <w:right w:val="nil"/>
          <w:between w:val="nil"/>
        </w:pBdr>
        <w:jc w:val="both"/>
        <w:rPr>
          <w:rFonts w:ascii="Times New Roman" w:eastAsia="Times New Roman" w:hAnsi="Times New Roman" w:cs="Times New Roman"/>
          <w:b/>
          <w:sz w:val="24"/>
          <w:szCs w:val="24"/>
        </w:rPr>
      </w:pPr>
    </w:p>
    <w:p w14:paraId="3944B1FE"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artículo 24, del Acuerdo 927 de 2024, Por medio del cual se adopta el plan de desarrollo económico, social, ambiental y de obras públicas del distrito capital 2024-2027 “Bogotá Camina Segura”, establece una evaluación de las capacidades instaladas del C4, con el objetivo de proponer e implementar un plan de fortalecimiento tecnológico. Este plan se enfoca en el fortalecimiento del modelo integrado de gestión de la convivencia y seguridad en los territorios, incluyendo redes colaborativas de seguridad como los frentes de seguridad local o conjuntos residenciales. La colaboración de los conjuntos residenciales con la Secretaría de Seguridad, mediante la integración de sus sistemas de videovigilancia al C4, se enmarca en este modelo de gestión y anticipación del delito. Este enfoque promueve una mayor participación ciudadana, incrementando la confianza en la seguridad y en las instituciones, y fomentando una comunidad más segura y cohesionada.</w:t>
      </w:r>
    </w:p>
    <w:p w14:paraId="1B6D2FEC" w14:textId="77777777" w:rsidR="00CE674C" w:rsidRDefault="00CE674C">
      <w:pPr>
        <w:pBdr>
          <w:top w:val="nil"/>
          <w:left w:val="nil"/>
          <w:bottom w:val="nil"/>
          <w:right w:val="nil"/>
          <w:between w:val="nil"/>
        </w:pBdr>
        <w:jc w:val="both"/>
        <w:rPr>
          <w:rFonts w:ascii="Times New Roman" w:eastAsia="Times New Roman" w:hAnsi="Times New Roman" w:cs="Times New Roman"/>
          <w:b/>
          <w:sz w:val="24"/>
          <w:szCs w:val="24"/>
        </w:rPr>
      </w:pPr>
    </w:p>
    <w:p w14:paraId="46D4319F" w14:textId="77777777" w:rsidR="00CE674C" w:rsidRDefault="00622F75">
      <w:pPr>
        <w:pBdr>
          <w:top w:val="nil"/>
          <w:left w:val="nil"/>
          <w:bottom w:val="nil"/>
          <w:right w:val="nil"/>
          <w:between w:val="nil"/>
        </w:pBdr>
        <w:ind w:left="144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Artículo 24. Enfoque de lucha contra la criminalidad.</w:t>
      </w:r>
      <w:r>
        <w:rPr>
          <w:rFonts w:ascii="Times New Roman" w:eastAsia="Times New Roman" w:hAnsi="Times New Roman" w:cs="Times New Roman"/>
          <w:i/>
          <w:sz w:val="24"/>
          <w:szCs w:val="24"/>
        </w:rPr>
        <w:t xml:space="preserve"> El Distrito Capital destinará recursos para el mantenimiento de las cámaras de videovigilancia que se encuentran fuera de servicio, dotación, estructura física y aumento de personal para el Centro de Comando, Control, Comunicación y Cómputo (C4), con el fin de aumentar su capacidad operativa, de anticipación y respuesta a eventos críticos, delincuenciales y emergencias. Asimismo, el Distrito estudiará y revisará la posibilidad de rentar y alquilar servicios de videovigilancia, que incluyan analítica de datos y uso de herramientas de inteligencia artificial, para fortalecer al Sistema.</w:t>
      </w:r>
    </w:p>
    <w:p w14:paraId="55808624" w14:textId="77777777" w:rsidR="00CE674C" w:rsidRDefault="00CE674C">
      <w:pPr>
        <w:pBdr>
          <w:top w:val="nil"/>
          <w:left w:val="nil"/>
          <w:bottom w:val="nil"/>
          <w:right w:val="nil"/>
          <w:between w:val="nil"/>
        </w:pBdr>
        <w:ind w:left="1440"/>
        <w:jc w:val="both"/>
        <w:rPr>
          <w:rFonts w:ascii="Times New Roman" w:eastAsia="Times New Roman" w:hAnsi="Times New Roman" w:cs="Times New Roman"/>
          <w:i/>
          <w:sz w:val="24"/>
          <w:szCs w:val="24"/>
        </w:rPr>
      </w:pPr>
    </w:p>
    <w:p w14:paraId="3EA6E3B4" w14:textId="77777777" w:rsidR="00CE674C" w:rsidRDefault="00622F75">
      <w:pPr>
        <w:pBdr>
          <w:top w:val="nil"/>
          <w:left w:val="nil"/>
          <w:bottom w:val="nil"/>
          <w:right w:val="nil"/>
          <w:between w:val="nil"/>
        </w:pBdr>
        <w:ind w:left="1440"/>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Adicionalmente se hará una evaluación de las capacidades instaladas de Comando y Control local con el fin de proponer e implementar un plan de fortalecimiento tecnológico que contribuya al fortalecimiento del modelo integrado de gestión de la convivencia y seguridad en los territorios y las redes colaborativas de seguridad dentro de las que se incluyen los frentes de seguridad local.</w:t>
      </w:r>
    </w:p>
    <w:p w14:paraId="237A34F4" w14:textId="77777777" w:rsidR="00CE674C" w:rsidRDefault="00CE674C">
      <w:pPr>
        <w:pBdr>
          <w:top w:val="nil"/>
          <w:left w:val="nil"/>
          <w:bottom w:val="nil"/>
          <w:right w:val="nil"/>
          <w:between w:val="nil"/>
        </w:pBdr>
        <w:ind w:left="1440"/>
        <w:jc w:val="both"/>
        <w:rPr>
          <w:rFonts w:ascii="Times New Roman" w:eastAsia="Times New Roman" w:hAnsi="Times New Roman" w:cs="Times New Roman"/>
          <w:b/>
          <w:i/>
          <w:sz w:val="24"/>
          <w:szCs w:val="24"/>
        </w:rPr>
      </w:pPr>
    </w:p>
    <w:p w14:paraId="224E2FD6"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lucha contra la criminalidad está estrechamente relacionada con los conjuntos residenciales. Los conjuntos residenciales, al ser espacios donde conviven numerosas familias, son áreas cruciales para la implementación de medidas de seguridad y prevención del delito coadyuvando a detectar y responder de manera más efectiva a incidentes delictivos dentro de estas. </w:t>
      </w:r>
    </w:p>
    <w:p w14:paraId="2C8DEB40"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5B86CD2A"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Además, la colaboración entre los conjuntos y las autoridades de seguridad del Distrito fortalece el modelo de gestión de la convivencia y seguridad. Esta colaboración crea una red de vigilancia y respuesta más robusta, integrando recursos privados y públicos para una cobertura más completa. Al participar activamente en este esquema, no solo mejoran su propia seguridad, sino que también contribuyen a la seguridad del barrio y la ciudad en general. Este enfoque colaborativo aumenta la confianza de los residentes en las instituciones de seguridad y fomenta un sentido de comunidad y responsabilidad compartida en la lucha contra la criminalidad.</w:t>
      </w:r>
    </w:p>
    <w:p w14:paraId="5D79B912"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21BDC833" w14:textId="77777777" w:rsidR="00CE674C" w:rsidRDefault="00CE674C">
      <w:pPr>
        <w:pBdr>
          <w:top w:val="nil"/>
          <w:left w:val="nil"/>
          <w:bottom w:val="nil"/>
          <w:right w:val="nil"/>
          <w:between w:val="nil"/>
        </w:pBdr>
        <w:jc w:val="both"/>
        <w:rPr>
          <w:rFonts w:ascii="Times New Roman" w:eastAsia="Times New Roman" w:hAnsi="Times New Roman" w:cs="Times New Roman"/>
          <w:b/>
          <w:sz w:val="24"/>
          <w:szCs w:val="24"/>
        </w:rPr>
      </w:pPr>
    </w:p>
    <w:p w14:paraId="08B60C25" w14:textId="77777777" w:rsidR="00CE674C" w:rsidRDefault="00622F75">
      <w:pPr>
        <w:numPr>
          <w:ilvl w:val="0"/>
          <w:numId w:val="2"/>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PARTICIPACIÓN CIUDADANA</w:t>
      </w:r>
      <w:r>
        <w:rPr>
          <w:rFonts w:ascii="Times New Roman" w:eastAsia="Times New Roman" w:hAnsi="Times New Roman" w:cs="Times New Roman"/>
          <w:color w:val="000000"/>
          <w:sz w:val="24"/>
          <w:szCs w:val="24"/>
        </w:rPr>
        <w:t xml:space="preserve">. </w:t>
      </w:r>
    </w:p>
    <w:p w14:paraId="4AFCA316"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59094CF2"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las diferentes localidades de Bogotá, como Usaquén, Suba y Teusaquillo, a lo largo del presente año se han llevado a cabo más de 40 consejos de seguridad, revelando que la seguridad en los conjuntos residenciales se ha vuelto cada vez más crítica. Los copropietarios han manifestado preocupaciones recurrentes sobre la demora en la respuesta de los cuadrantes policiales, la falta de articulación con las autoridades en casos de robos y la inseguridad al realizar actividades cotidianas como sacar a pasear a sus perros. Estas inquietudes subrayan la necesidad urgente de implementar medidas que fortalezcan la seguridad en estos entornos residenciales, ya que la percepción de inseguridad afecta la calidad de vida y el bienestar de los residentes.</w:t>
      </w:r>
    </w:p>
    <w:p w14:paraId="54D9C478"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4153004B" w14:textId="77777777" w:rsidR="00CE674C" w:rsidRDefault="00622F75">
      <w:pPr>
        <w:ind w:left="72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s-419" w:eastAsia="es-419"/>
        </w:rPr>
        <w:drawing>
          <wp:inline distT="114300" distB="114300" distL="114300" distR="114300" wp14:anchorId="6FBAD8ED" wp14:editId="6E20FD1F">
            <wp:extent cx="2286000" cy="1671320"/>
            <wp:effectExtent l="0" t="0" r="0" b="0"/>
            <wp:docPr id="190204932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t="24040"/>
                    <a:stretch>
                      <a:fillRect/>
                    </a:stretch>
                  </pic:blipFill>
                  <pic:spPr>
                    <a:xfrm>
                      <a:off x="0" y="0"/>
                      <a:ext cx="2286000" cy="1671320"/>
                    </a:xfrm>
                    <a:prstGeom prst="rect">
                      <a:avLst/>
                    </a:prstGeom>
                    <a:ln/>
                  </pic:spPr>
                </pic:pic>
              </a:graphicData>
            </a:graphic>
          </wp:inline>
        </w:drawing>
      </w: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lang w:val="es-419" w:eastAsia="es-419"/>
        </w:rPr>
        <w:drawing>
          <wp:inline distT="114300" distB="114300" distL="114300" distR="114300" wp14:anchorId="029B8660" wp14:editId="237ECAF2">
            <wp:extent cx="2276475" cy="1680845"/>
            <wp:effectExtent l="0" t="0" r="0" b="0"/>
            <wp:docPr id="190204932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t="37423"/>
                    <a:stretch>
                      <a:fillRect/>
                    </a:stretch>
                  </pic:blipFill>
                  <pic:spPr>
                    <a:xfrm>
                      <a:off x="0" y="0"/>
                      <a:ext cx="2276475" cy="1680845"/>
                    </a:xfrm>
                    <a:prstGeom prst="rect">
                      <a:avLst/>
                    </a:prstGeom>
                    <a:ln/>
                  </pic:spPr>
                </pic:pic>
              </a:graphicData>
            </a:graphic>
          </wp:inline>
        </w:drawing>
      </w:r>
    </w:p>
    <w:p w14:paraId="283F08C7" w14:textId="77777777" w:rsidR="00CE674C" w:rsidRDefault="00CE674C">
      <w:pPr>
        <w:ind w:left="720"/>
        <w:jc w:val="both"/>
        <w:rPr>
          <w:rFonts w:ascii="Times New Roman" w:eastAsia="Times New Roman" w:hAnsi="Times New Roman" w:cs="Times New Roman"/>
          <w:sz w:val="24"/>
          <w:szCs w:val="24"/>
        </w:rPr>
      </w:pPr>
    </w:p>
    <w:p w14:paraId="1540715E" w14:textId="77777777" w:rsidR="00CE674C" w:rsidRDefault="00622F7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Ante esta problemática, es esencial buscar medidas que refuercen la seguridad en los conjuntos residenciales para mejorar la capacidad de respuesta ante incidentes delictivos y fortalecer la colaboración entre la comunidad y las fuerzas policiales. Integrar las cámaras de videovigilancia de los conjuntos residenciales al sistema central del C4 puede proporcionar una vigilancia más eficaz y una respuesta más rápida de las autoridades ante situaciones de emergencia. Además, establecer programas de vigilancia comunitaria y capacitaciones en seguridad para los residentes puede aumentar la conciencia y la cooperación en la prevención del delito. Estas acciones no solo mejorarán la seguridad, sino que también incrementarán la confianza de los residentes en las instituciones de seguridad, creando un entorno más seguro y cohesionado.</w:t>
      </w:r>
    </w:p>
    <w:p w14:paraId="6449EA07" w14:textId="77777777" w:rsidR="00CE674C" w:rsidRDefault="00CE674C">
      <w:pPr>
        <w:jc w:val="both"/>
        <w:rPr>
          <w:rFonts w:ascii="Times New Roman" w:eastAsia="Times New Roman" w:hAnsi="Times New Roman" w:cs="Times New Roman"/>
          <w:sz w:val="24"/>
          <w:szCs w:val="24"/>
        </w:rPr>
      </w:pPr>
    </w:p>
    <w:p w14:paraId="02A4084E" w14:textId="77777777" w:rsidR="00CE674C" w:rsidRDefault="00CE674C">
      <w:pPr>
        <w:pBdr>
          <w:top w:val="nil"/>
          <w:left w:val="nil"/>
          <w:bottom w:val="nil"/>
          <w:right w:val="nil"/>
          <w:between w:val="nil"/>
        </w:pBdr>
        <w:jc w:val="both"/>
        <w:rPr>
          <w:rFonts w:ascii="Times New Roman" w:eastAsia="Times New Roman" w:hAnsi="Times New Roman" w:cs="Times New Roman"/>
          <w:color w:val="000000"/>
          <w:sz w:val="24"/>
          <w:szCs w:val="24"/>
        </w:rPr>
      </w:pPr>
    </w:p>
    <w:p w14:paraId="69DF522E" w14:textId="77777777" w:rsidR="00CE674C" w:rsidRDefault="00622F75">
      <w:pPr>
        <w:numPr>
          <w:ilvl w:val="0"/>
          <w:numId w:val="2"/>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COMPETENCIA DEL CONCEJO DE BOGOTÁ</w:t>
      </w:r>
    </w:p>
    <w:p w14:paraId="3760913F" w14:textId="77777777" w:rsidR="00CE674C" w:rsidRDefault="00CE674C">
      <w:pPr>
        <w:pBdr>
          <w:top w:val="nil"/>
          <w:left w:val="nil"/>
          <w:bottom w:val="nil"/>
          <w:right w:val="nil"/>
          <w:between w:val="nil"/>
        </w:pBdr>
        <w:ind w:left="720"/>
        <w:jc w:val="both"/>
        <w:rPr>
          <w:rFonts w:ascii="Times New Roman" w:eastAsia="Times New Roman" w:hAnsi="Times New Roman" w:cs="Times New Roman"/>
          <w:b/>
          <w:sz w:val="24"/>
          <w:szCs w:val="24"/>
        </w:rPr>
      </w:pPr>
    </w:p>
    <w:p w14:paraId="0EB0E2E6" w14:textId="77777777" w:rsidR="00CE674C" w:rsidRDefault="00622F7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 Concejo de Bogotá es competente para estudiar y aprobar o improbar el presente proyecto de acuerdo en virtud de lo establecido en el artículo 12 del Decreto ley 1421 de 1993, principalmente en el numeral 1º del artículo 12: </w:t>
      </w:r>
    </w:p>
    <w:p w14:paraId="32FD5032"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3AFA624F" w14:textId="77777777" w:rsidR="00CE674C" w:rsidRDefault="00622F75">
      <w:pPr>
        <w:pBdr>
          <w:top w:val="nil"/>
          <w:left w:val="nil"/>
          <w:bottom w:val="nil"/>
          <w:right w:val="nil"/>
          <w:between w:val="nil"/>
        </w:pBdr>
        <w:ind w:firstLine="708"/>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DECRETO LEY 1421 de 1993 “Estatuto Orgánico de Bogotá”.</w:t>
      </w:r>
    </w:p>
    <w:p w14:paraId="329A49DD" w14:textId="77777777" w:rsidR="00CE674C" w:rsidRDefault="00CE674C">
      <w:pPr>
        <w:pBdr>
          <w:top w:val="nil"/>
          <w:left w:val="nil"/>
          <w:bottom w:val="nil"/>
          <w:right w:val="nil"/>
          <w:between w:val="nil"/>
        </w:pBdr>
        <w:ind w:firstLine="708"/>
        <w:jc w:val="both"/>
        <w:rPr>
          <w:rFonts w:ascii="Times New Roman" w:eastAsia="Times New Roman" w:hAnsi="Times New Roman" w:cs="Times New Roman"/>
          <w:b/>
          <w:sz w:val="24"/>
          <w:szCs w:val="24"/>
        </w:rPr>
      </w:pPr>
    </w:p>
    <w:p w14:paraId="641082F7" w14:textId="77777777" w:rsidR="00CE674C" w:rsidRDefault="00622F75">
      <w:pPr>
        <w:pBdr>
          <w:top w:val="nil"/>
          <w:left w:val="nil"/>
          <w:bottom w:val="nil"/>
          <w:right w:val="nil"/>
          <w:between w:val="nil"/>
        </w:pBdr>
        <w:jc w:val="both"/>
        <w:rPr>
          <w:rFonts w:ascii="Times New Roman" w:eastAsia="Times New Roman" w:hAnsi="Times New Roman" w:cs="Times New Roman"/>
          <w:i/>
          <w:color w:val="000000"/>
          <w:sz w:val="24"/>
          <w:szCs w:val="24"/>
        </w:rPr>
      </w:pPr>
      <w:r>
        <w:rPr>
          <w:rFonts w:ascii="Times New Roman" w:eastAsia="Times New Roman" w:hAnsi="Times New Roman" w:cs="Times New Roman"/>
          <w:b/>
          <w:i/>
          <w:color w:val="000000"/>
          <w:sz w:val="24"/>
          <w:szCs w:val="24"/>
        </w:rPr>
        <w:t>“Artículo 12. Atribuciones.</w:t>
      </w:r>
      <w:r>
        <w:rPr>
          <w:rFonts w:ascii="Times New Roman" w:eastAsia="Times New Roman" w:hAnsi="Times New Roman" w:cs="Times New Roman"/>
          <w:i/>
          <w:color w:val="000000"/>
          <w:sz w:val="24"/>
          <w:szCs w:val="24"/>
        </w:rPr>
        <w:t xml:space="preserve"> Corresponde al Concejo Distrital, de conformidad con la Constitución y a la ley: </w:t>
      </w:r>
    </w:p>
    <w:p w14:paraId="687D3C35" w14:textId="77777777" w:rsidR="00CE674C" w:rsidRDefault="00CE674C">
      <w:pPr>
        <w:pBdr>
          <w:top w:val="nil"/>
          <w:left w:val="nil"/>
          <w:bottom w:val="nil"/>
          <w:right w:val="nil"/>
          <w:between w:val="nil"/>
        </w:pBdr>
        <w:jc w:val="both"/>
        <w:rPr>
          <w:rFonts w:ascii="Times New Roman" w:eastAsia="Times New Roman" w:hAnsi="Times New Roman" w:cs="Times New Roman"/>
          <w:i/>
          <w:sz w:val="24"/>
          <w:szCs w:val="24"/>
        </w:rPr>
      </w:pPr>
    </w:p>
    <w:p w14:paraId="277BAE79" w14:textId="77777777" w:rsidR="00CE674C" w:rsidRDefault="00622F75">
      <w:pPr>
        <w:pBdr>
          <w:top w:val="nil"/>
          <w:left w:val="nil"/>
          <w:bottom w:val="nil"/>
          <w:right w:val="nil"/>
          <w:between w:val="nil"/>
        </w:pBdr>
        <w:ind w:firstLine="708"/>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1.Dictar las normas necesarias para garantizar el adecuado cumplimiento de las funciones y la eficiente prestación de los servicios a cargo del Distrito.”</w:t>
      </w:r>
    </w:p>
    <w:p w14:paraId="4EE11D0A" w14:textId="77777777" w:rsidR="00CE674C" w:rsidRDefault="00CE674C">
      <w:pPr>
        <w:pBdr>
          <w:top w:val="nil"/>
          <w:left w:val="nil"/>
          <w:bottom w:val="nil"/>
          <w:right w:val="nil"/>
          <w:between w:val="nil"/>
        </w:pBdr>
        <w:ind w:firstLine="708"/>
        <w:jc w:val="both"/>
        <w:rPr>
          <w:rFonts w:ascii="Times New Roman" w:eastAsia="Times New Roman" w:hAnsi="Times New Roman" w:cs="Times New Roman"/>
          <w:i/>
          <w:sz w:val="24"/>
          <w:szCs w:val="24"/>
        </w:rPr>
      </w:pPr>
    </w:p>
    <w:p w14:paraId="2D23F49B" w14:textId="77777777" w:rsidR="00CE674C" w:rsidRDefault="00622F7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 igual forma, el numeral 4 del artículo 38 del Decreto Ley 1421 de 1993 confiere al alcalde Mayor la atribución de “</w:t>
      </w:r>
      <w:r>
        <w:rPr>
          <w:rFonts w:ascii="Times New Roman" w:eastAsia="Times New Roman" w:hAnsi="Times New Roman" w:cs="Times New Roman"/>
          <w:i/>
          <w:color w:val="000000"/>
          <w:sz w:val="24"/>
          <w:szCs w:val="24"/>
        </w:rPr>
        <w:t>Ejercer la potestad reglamentaria, expidiendo los decretos, órdenes y resoluciones necesarios para asegurar la debida ejecución de los acuerdos"</w:t>
      </w:r>
      <w:r>
        <w:rPr>
          <w:rFonts w:ascii="Times New Roman" w:eastAsia="Times New Roman" w:hAnsi="Times New Roman" w:cs="Times New Roman"/>
          <w:color w:val="000000"/>
          <w:sz w:val="24"/>
          <w:szCs w:val="24"/>
        </w:rPr>
        <w:t>. De esta manera, el presente Proyecto de Acuerdo establece un marco general, dejando a cargo del gobierno distrital, en el ejercicio de su capacidad reglamentaria, desarrollar y poner en práctica lo dispuesto en esta iniciativa normativa.</w:t>
      </w:r>
    </w:p>
    <w:p w14:paraId="576BAE55"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590BCC6B" w14:textId="77777777" w:rsidR="00CE674C" w:rsidRDefault="00622F75">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Times New Roman" w:eastAsia="Times New Roman" w:hAnsi="Times New Roman" w:cs="Times New Roman"/>
          <w:b/>
          <w:color w:val="000000"/>
          <w:sz w:val="24"/>
          <w:szCs w:val="24"/>
        </w:rPr>
        <w:t>IMPACTO FISCAL</w:t>
      </w:r>
      <w:r>
        <w:rPr>
          <w:rFonts w:ascii="Times New Roman" w:eastAsia="Times New Roman" w:hAnsi="Times New Roman" w:cs="Times New Roman"/>
          <w:color w:val="000000"/>
          <w:sz w:val="24"/>
          <w:szCs w:val="24"/>
        </w:rPr>
        <w:t xml:space="preserve"> </w:t>
      </w:r>
    </w:p>
    <w:p w14:paraId="34AE0109"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126A79C8" w14:textId="77777777" w:rsidR="00CE674C" w:rsidRDefault="00622F75">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conformidad con el artículo 7 de la Ley 819 de 2003: </w:t>
      </w:r>
    </w:p>
    <w:p w14:paraId="19CEBA63"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2AD11B71" w14:textId="77777777" w:rsidR="00CE674C" w:rsidRDefault="00622F75">
      <w:pPr>
        <w:pBdr>
          <w:top w:val="nil"/>
          <w:left w:val="nil"/>
          <w:bottom w:val="nil"/>
          <w:right w:val="nil"/>
          <w:between w:val="nil"/>
        </w:pBd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“En todo momento, 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14:paraId="33168FB9" w14:textId="77777777" w:rsidR="00CE674C" w:rsidRDefault="00CE674C">
      <w:pPr>
        <w:pBdr>
          <w:top w:val="nil"/>
          <w:left w:val="nil"/>
          <w:bottom w:val="nil"/>
          <w:right w:val="nil"/>
          <w:between w:val="nil"/>
        </w:pBdr>
        <w:jc w:val="both"/>
        <w:rPr>
          <w:rFonts w:ascii="Times New Roman" w:eastAsia="Times New Roman" w:hAnsi="Times New Roman" w:cs="Times New Roman"/>
          <w:sz w:val="24"/>
          <w:szCs w:val="24"/>
        </w:rPr>
      </w:pPr>
    </w:p>
    <w:p w14:paraId="0394859A" w14:textId="77777777" w:rsidR="00CE674C" w:rsidRDefault="00622F75">
      <w:pPr>
        <w:spacing w:after="16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 presente proyecto no genera ningún impacto fiscal adicional, solo traza una ruta adicional dentro del Plan Distrital de Desarrollo “Bogotá Camina Segura” 2024-2027 y el Plan de Acción de la Secretaría Distrital de Seguridad Convivencia y Justicia, la cual puede llevarse a cabo con el presupuesto actual. </w:t>
      </w:r>
    </w:p>
    <w:p w14:paraId="29397547" w14:textId="3309EFD9" w:rsidR="00F139AD" w:rsidRDefault="00F139AD" w:rsidP="00F139AD">
      <w:pPr>
        <w:spacing w:after="160" w:line="259" w:lineRule="auto"/>
        <w:rPr>
          <w:rFonts w:ascii="Times New Roman" w:eastAsia="Times New Roman" w:hAnsi="Times New Roman" w:cs="Times New Roman"/>
          <w:sz w:val="24"/>
          <w:szCs w:val="24"/>
        </w:rPr>
      </w:pPr>
    </w:p>
    <w:p w14:paraId="6CCA6833" w14:textId="77777777" w:rsidR="00F139AD" w:rsidRDefault="00F139AD" w:rsidP="00F139AD">
      <w:pPr>
        <w:jc w:val="both"/>
        <w:rPr>
          <w:rFonts w:ascii="Times New Roman" w:eastAsia="Times New Roman" w:hAnsi="Times New Roman" w:cs="Times New Roman"/>
        </w:rPr>
      </w:pPr>
      <w:r>
        <w:rPr>
          <w:rFonts w:ascii="Times New Roman" w:eastAsia="Times New Roman" w:hAnsi="Times New Roman" w:cs="Times New Roman"/>
        </w:rPr>
        <w:t>Atentamente,</w:t>
      </w:r>
    </w:p>
    <w:p w14:paraId="2C0C708D" w14:textId="77777777" w:rsidR="00F139AD" w:rsidRDefault="00F139AD" w:rsidP="00F139AD">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446AD28" w14:textId="3BAC2FF3" w:rsidR="00F139AD" w:rsidRDefault="00F139AD" w:rsidP="00F139AD">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2FD3453E" w14:textId="13338518" w:rsidR="005B2C12" w:rsidRDefault="005B2C12" w:rsidP="00F139AD">
      <w:pPr>
        <w:jc w:val="both"/>
        <w:rPr>
          <w:rFonts w:ascii="Times New Roman" w:eastAsia="Times New Roman" w:hAnsi="Times New Roman" w:cs="Times New Roman"/>
        </w:rPr>
      </w:pPr>
    </w:p>
    <w:p w14:paraId="3A8597CD" w14:textId="77777777" w:rsidR="005B2C12" w:rsidRDefault="005B2C12" w:rsidP="00F139AD">
      <w:pPr>
        <w:jc w:val="both"/>
        <w:rPr>
          <w:rFonts w:ascii="Times New Roman" w:eastAsia="Times New Roman" w:hAnsi="Times New Roman" w:cs="Times New Roman"/>
        </w:rPr>
      </w:pPr>
    </w:p>
    <w:p w14:paraId="566DD2DD" w14:textId="77777777" w:rsidR="00F139AD" w:rsidRDefault="00F139AD" w:rsidP="00F139AD">
      <w:pPr>
        <w:jc w:val="both"/>
        <w:rPr>
          <w:rFonts w:ascii="Times New Roman" w:eastAsia="Times New Roman" w:hAnsi="Times New Roman" w:cs="Times New Roman"/>
        </w:rPr>
      </w:pPr>
    </w:p>
    <w:p w14:paraId="4E3F4186" w14:textId="77777777" w:rsidR="00F139AD" w:rsidRDefault="00F139AD" w:rsidP="00F139AD">
      <w:pPr>
        <w:jc w:val="both"/>
        <w:rPr>
          <w:rFonts w:ascii="Times New Roman" w:eastAsia="Times New Roman" w:hAnsi="Times New Roman" w:cs="Times New Roman"/>
        </w:rPr>
      </w:pPr>
      <w:r>
        <w:rPr>
          <w:rFonts w:ascii="Times New Roman" w:eastAsia="Times New Roman" w:hAnsi="Times New Roman" w:cs="Times New Roman"/>
          <w:b/>
        </w:rPr>
        <w:t>JULIÁN USCÁTEGUI PASTRANA</w:t>
      </w:r>
      <w:r>
        <w:rPr>
          <w:rFonts w:ascii="Times New Roman" w:eastAsia="Times New Roman" w:hAnsi="Times New Roman" w:cs="Times New Roman"/>
        </w:rPr>
        <w:t xml:space="preserve">              </w:t>
      </w:r>
      <w:r>
        <w:rPr>
          <w:rFonts w:ascii="Times New Roman" w:eastAsia="Times New Roman" w:hAnsi="Times New Roman" w:cs="Times New Roman"/>
        </w:rPr>
        <w:tab/>
      </w:r>
    </w:p>
    <w:p w14:paraId="6BC19854" w14:textId="77777777" w:rsidR="00F139AD" w:rsidRDefault="00F139AD" w:rsidP="00F139AD">
      <w:pPr>
        <w:jc w:val="both"/>
        <w:rPr>
          <w:rFonts w:ascii="Times New Roman" w:eastAsia="Times New Roman" w:hAnsi="Times New Roman" w:cs="Times New Roman"/>
        </w:rPr>
      </w:pPr>
      <w:r>
        <w:rPr>
          <w:rFonts w:ascii="Times New Roman" w:eastAsia="Times New Roman" w:hAnsi="Times New Roman" w:cs="Times New Roman"/>
        </w:rPr>
        <w:t xml:space="preserve">H. Concejal de Bogotá D.C.                                 </w:t>
      </w:r>
      <w:r>
        <w:rPr>
          <w:rFonts w:ascii="Times New Roman" w:eastAsia="Times New Roman" w:hAnsi="Times New Roman" w:cs="Times New Roman"/>
        </w:rPr>
        <w:tab/>
        <w:t xml:space="preserve"> </w:t>
      </w:r>
    </w:p>
    <w:p w14:paraId="1F431D5E" w14:textId="7CFDC8DF" w:rsidR="00F139AD" w:rsidRDefault="00F139AD" w:rsidP="00F139AD">
      <w:pPr>
        <w:spacing w:after="160" w:line="259" w:lineRule="auto"/>
        <w:rPr>
          <w:rFonts w:ascii="Times New Roman" w:eastAsia="Times New Roman" w:hAnsi="Times New Roman" w:cs="Times New Roman"/>
          <w:b/>
          <w:sz w:val="24"/>
          <w:szCs w:val="24"/>
        </w:rPr>
      </w:pPr>
      <w:r>
        <w:rPr>
          <w:rFonts w:ascii="Times New Roman" w:eastAsia="Times New Roman" w:hAnsi="Times New Roman" w:cs="Times New Roman"/>
        </w:rPr>
        <w:t xml:space="preserve">Centro Democrático                    </w:t>
      </w:r>
    </w:p>
    <w:p w14:paraId="004F85D8" w14:textId="77777777" w:rsidR="00F139AD" w:rsidRDefault="00F139AD">
      <w:pPr>
        <w:spacing w:after="160" w:line="259" w:lineRule="auto"/>
        <w:jc w:val="center"/>
        <w:rPr>
          <w:rFonts w:ascii="Times New Roman" w:eastAsia="Times New Roman" w:hAnsi="Times New Roman" w:cs="Times New Roman"/>
          <w:b/>
          <w:sz w:val="24"/>
          <w:szCs w:val="24"/>
        </w:rPr>
      </w:pPr>
    </w:p>
    <w:p w14:paraId="57AB8720" w14:textId="77777777" w:rsidR="00F139AD" w:rsidRDefault="00F139AD">
      <w:pPr>
        <w:spacing w:after="160" w:line="259" w:lineRule="auto"/>
        <w:jc w:val="center"/>
        <w:rPr>
          <w:rFonts w:ascii="Times New Roman" w:eastAsia="Times New Roman" w:hAnsi="Times New Roman" w:cs="Times New Roman"/>
          <w:b/>
          <w:sz w:val="24"/>
          <w:szCs w:val="24"/>
        </w:rPr>
      </w:pPr>
    </w:p>
    <w:p w14:paraId="3FDE92A6" w14:textId="77777777" w:rsidR="00F139AD" w:rsidRDefault="00F139AD">
      <w:pPr>
        <w:spacing w:after="160" w:line="259" w:lineRule="auto"/>
        <w:jc w:val="center"/>
        <w:rPr>
          <w:rFonts w:ascii="Times New Roman" w:eastAsia="Times New Roman" w:hAnsi="Times New Roman" w:cs="Times New Roman"/>
          <w:b/>
          <w:sz w:val="24"/>
          <w:szCs w:val="24"/>
        </w:rPr>
      </w:pPr>
    </w:p>
    <w:p w14:paraId="78BC5C4A" w14:textId="77777777" w:rsidR="00F139AD" w:rsidRDefault="00F139AD">
      <w:pPr>
        <w:spacing w:after="160" w:line="259" w:lineRule="auto"/>
        <w:jc w:val="center"/>
        <w:rPr>
          <w:rFonts w:ascii="Times New Roman" w:eastAsia="Times New Roman" w:hAnsi="Times New Roman" w:cs="Times New Roman"/>
          <w:b/>
          <w:sz w:val="24"/>
          <w:szCs w:val="24"/>
        </w:rPr>
      </w:pPr>
    </w:p>
    <w:p w14:paraId="0447691F" w14:textId="77777777" w:rsidR="00F139AD" w:rsidRDefault="00F139AD">
      <w:pPr>
        <w:spacing w:after="160" w:line="259" w:lineRule="auto"/>
        <w:jc w:val="center"/>
        <w:rPr>
          <w:rFonts w:ascii="Times New Roman" w:eastAsia="Times New Roman" w:hAnsi="Times New Roman" w:cs="Times New Roman"/>
          <w:b/>
          <w:sz w:val="24"/>
          <w:szCs w:val="24"/>
        </w:rPr>
      </w:pPr>
    </w:p>
    <w:p w14:paraId="705E7ED8" w14:textId="77777777" w:rsidR="00F139AD" w:rsidRDefault="00F139AD">
      <w:pPr>
        <w:spacing w:after="160" w:line="259" w:lineRule="auto"/>
        <w:jc w:val="center"/>
        <w:rPr>
          <w:rFonts w:ascii="Times New Roman" w:eastAsia="Times New Roman" w:hAnsi="Times New Roman" w:cs="Times New Roman"/>
          <w:b/>
          <w:sz w:val="24"/>
          <w:szCs w:val="24"/>
        </w:rPr>
      </w:pPr>
    </w:p>
    <w:p w14:paraId="358D6F14" w14:textId="77777777" w:rsidR="00F139AD" w:rsidRDefault="00F139AD">
      <w:pPr>
        <w:spacing w:after="160" w:line="259" w:lineRule="auto"/>
        <w:jc w:val="center"/>
        <w:rPr>
          <w:rFonts w:ascii="Times New Roman" w:eastAsia="Times New Roman" w:hAnsi="Times New Roman" w:cs="Times New Roman"/>
          <w:b/>
          <w:sz w:val="24"/>
          <w:szCs w:val="24"/>
        </w:rPr>
      </w:pPr>
    </w:p>
    <w:p w14:paraId="0F5BB843" w14:textId="77777777" w:rsidR="00F139AD" w:rsidRDefault="00F139AD">
      <w:pPr>
        <w:spacing w:after="160" w:line="259" w:lineRule="auto"/>
        <w:jc w:val="center"/>
        <w:rPr>
          <w:rFonts w:ascii="Times New Roman" w:eastAsia="Times New Roman" w:hAnsi="Times New Roman" w:cs="Times New Roman"/>
          <w:b/>
          <w:sz w:val="24"/>
          <w:szCs w:val="24"/>
        </w:rPr>
      </w:pPr>
    </w:p>
    <w:p w14:paraId="63889FDE" w14:textId="77777777" w:rsidR="00F139AD" w:rsidRDefault="00F139AD">
      <w:pPr>
        <w:spacing w:after="160" w:line="259" w:lineRule="auto"/>
        <w:jc w:val="center"/>
        <w:rPr>
          <w:rFonts w:ascii="Times New Roman" w:eastAsia="Times New Roman" w:hAnsi="Times New Roman" w:cs="Times New Roman"/>
          <w:b/>
          <w:sz w:val="24"/>
          <w:szCs w:val="24"/>
        </w:rPr>
      </w:pPr>
    </w:p>
    <w:p w14:paraId="7ABF6A44" w14:textId="77777777" w:rsidR="00F139AD" w:rsidRDefault="00F139AD">
      <w:pPr>
        <w:spacing w:after="160" w:line="259" w:lineRule="auto"/>
        <w:jc w:val="center"/>
        <w:rPr>
          <w:rFonts w:ascii="Times New Roman" w:eastAsia="Times New Roman" w:hAnsi="Times New Roman" w:cs="Times New Roman"/>
          <w:b/>
          <w:sz w:val="24"/>
          <w:szCs w:val="24"/>
        </w:rPr>
      </w:pPr>
    </w:p>
    <w:p w14:paraId="28C45D00" w14:textId="77777777" w:rsidR="00F139AD" w:rsidRDefault="00F139AD">
      <w:pPr>
        <w:spacing w:after="160" w:line="259" w:lineRule="auto"/>
        <w:jc w:val="center"/>
        <w:rPr>
          <w:rFonts w:ascii="Times New Roman" w:eastAsia="Times New Roman" w:hAnsi="Times New Roman" w:cs="Times New Roman"/>
          <w:b/>
          <w:sz w:val="24"/>
          <w:szCs w:val="24"/>
        </w:rPr>
      </w:pPr>
    </w:p>
    <w:p w14:paraId="307A369B" w14:textId="77777777" w:rsidR="00F139AD" w:rsidRDefault="00F139AD">
      <w:pPr>
        <w:spacing w:after="160" w:line="259" w:lineRule="auto"/>
        <w:jc w:val="center"/>
        <w:rPr>
          <w:rFonts w:ascii="Times New Roman" w:eastAsia="Times New Roman" w:hAnsi="Times New Roman" w:cs="Times New Roman"/>
          <w:b/>
          <w:sz w:val="24"/>
          <w:szCs w:val="24"/>
        </w:rPr>
      </w:pPr>
    </w:p>
    <w:p w14:paraId="699D98D1" w14:textId="2450411A" w:rsidR="00F139AD" w:rsidRDefault="00F139AD" w:rsidP="00F139AD">
      <w:pPr>
        <w:spacing w:after="160" w:line="259" w:lineRule="auto"/>
        <w:rPr>
          <w:rFonts w:ascii="Times New Roman" w:eastAsia="Times New Roman" w:hAnsi="Times New Roman" w:cs="Times New Roman"/>
          <w:b/>
          <w:sz w:val="24"/>
          <w:szCs w:val="24"/>
        </w:rPr>
      </w:pPr>
    </w:p>
    <w:p w14:paraId="75901895" w14:textId="7B9189BC" w:rsidR="00CE674C" w:rsidRDefault="00622F75">
      <w:pPr>
        <w:spacing w:after="160" w:line="259"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PROYECTO DE ACUERDO No. </w:t>
      </w:r>
      <w:r w:rsidR="0031412A">
        <w:rPr>
          <w:rFonts w:ascii="Times New Roman" w:eastAsia="Times New Roman" w:hAnsi="Times New Roman" w:cs="Times New Roman"/>
          <w:b/>
          <w:sz w:val="24"/>
          <w:szCs w:val="24"/>
        </w:rPr>
        <w:t>____ DE 2025</w:t>
      </w:r>
    </w:p>
    <w:p w14:paraId="340BFA6D" w14:textId="77777777" w:rsidR="00CE674C" w:rsidRDefault="00CE674C">
      <w:pPr>
        <w:spacing w:after="160" w:line="259" w:lineRule="auto"/>
        <w:jc w:val="center"/>
        <w:rPr>
          <w:rFonts w:ascii="Times New Roman" w:eastAsia="Times New Roman" w:hAnsi="Times New Roman" w:cs="Times New Roman"/>
          <w:b/>
          <w:sz w:val="24"/>
          <w:szCs w:val="24"/>
        </w:rPr>
      </w:pPr>
    </w:p>
    <w:p w14:paraId="4A92E976" w14:textId="77777777" w:rsidR="00CE674C" w:rsidRDefault="00622F75">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“POR MEDIO DEL CUAL SE PROMUEVE LA SEGURIDAD EN LAS COPROPIEDADES SUJETAS AL RÉGIMEN DE PROPIEDAD HORIZONTAL EN EL DISTRITO CAPITAL” </w:t>
      </w:r>
    </w:p>
    <w:p w14:paraId="011320BF" w14:textId="77777777" w:rsidR="00CE674C" w:rsidRDefault="00CE674C">
      <w:pPr>
        <w:spacing w:after="160" w:line="259" w:lineRule="auto"/>
        <w:jc w:val="center"/>
        <w:rPr>
          <w:rFonts w:ascii="Times New Roman" w:eastAsia="Times New Roman" w:hAnsi="Times New Roman" w:cs="Times New Roman"/>
          <w:b/>
          <w:sz w:val="24"/>
          <w:szCs w:val="24"/>
        </w:rPr>
      </w:pPr>
    </w:p>
    <w:p w14:paraId="55DC00CC" w14:textId="77777777" w:rsidR="00CE674C" w:rsidRDefault="00622F75">
      <w:pPr>
        <w:spacing w:after="160" w:line="259"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EL CONCEJO DE BOGOTÁ D.C</w:t>
      </w:r>
    </w:p>
    <w:p w14:paraId="741781E7" w14:textId="77777777" w:rsidR="00CE674C" w:rsidRDefault="00CE674C">
      <w:pPr>
        <w:spacing w:after="160" w:line="259" w:lineRule="auto"/>
        <w:jc w:val="center"/>
        <w:rPr>
          <w:rFonts w:ascii="Times New Roman" w:eastAsia="Times New Roman" w:hAnsi="Times New Roman" w:cs="Times New Roman"/>
          <w:b/>
          <w:sz w:val="24"/>
          <w:szCs w:val="24"/>
        </w:rPr>
      </w:pPr>
    </w:p>
    <w:p w14:paraId="44DF6085" w14:textId="77777777" w:rsidR="00CE674C" w:rsidRDefault="00622F75">
      <w:pPr>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En ejercicio de sus facultades constitucionales y legales, en especial las conferidas por los numerales 1 y 7 del artículo 12, del Decreto Ley 1421 de 1993.</w:t>
      </w:r>
    </w:p>
    <w:p w14:paraId="4886B3D8" w14:textId="77777777" w:rsidR="00CE674C" w:rsidRDefault="00CE674C">
      <w:pPr>
        <w:spacing w:after="160" w:line="259" w:lineRule="auto"/>
        <w:jc w:val="center"/>
        <w:rPr>
          <w:rFonts w:ascii="Times New Roman" w:eastAsia="Times New Roman" w:hAnsi="Times New Roman" w:cs="Times New Roman"/>
          <w:b/>
          <w:sz w:val="24"/>
          <w:szCs w:val="24"/>
        </w:rPr>
      </w:pPr>
    </w:p>
    <w:p w14:paraId="72AE4407" w14:textId="77777777" w:rsidR="00CE674C" w:rsidRDefault="00622F75">
      <w:pPr>
        <w:spacing w:after="160" w:line="259"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ACUERDA</w:t>
      </w:r>
    </w:p>
    <w:p w14:paraId="2274A33A" w14:textId="77777777" w:rsidR="00CE674C" w:rsidRDefault="00622F75">
      <w:pPr>
        <w:spacing w:before="240" w:after="240" w:line="256"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Artículo 1. Objeto del Acuerdo. </w:t>
      </w:r>
      <w:r>
        <w:rPr>
          <w:rFonts w:ascii="Times New Roman" w:eastAsia="Times New Roman" w:hAnsi="Times New Roman" w:cs="Times New Roman"/>
          <w:sz w:val="24"/>
          <w:szCs w:val="24"/>
        </w:rPr>
        <w:t>El presente acuerdo tiene como objeto establecer medidas para promover y garantizar la seguridad en las copropiedades sujetas al régimen de propiedad horizontal en el Distrito Capital, con el fin de mejorar la protección de los residentes y sus bienes.</w:t>
      </w:r>
    </w:p>
    <w:p w14:paraId="6FA6A416" w14:textId="77777777" w:rsidR="00CE674C" w:rsidRDefault="00622F75">
      <w:pPr>
        <w:spacing w:before="240" w:after="240" w:line="256"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Artículo 2. Coordinación. </w:t>
      </w:r>
      <w:r>
        <w:rPr>
          <w:rFonts w:ascii="Times New Roman" w:eastAsia="Times New Roman" w:hAnsi="Times New Roman" w:cs="Times New Roman"/>
          <w:sz w:val="24"/>
          <w:szCs w:val="24"/>
        </w:rPr>
        <w:t xml:space="preserve">La Administración Distrital, encabezada por la Secretaría Distrital de Seguridad Convivencia y Justicia, propenderá por establecer un mecanismo de articulación y coordinación entre las copropiedades y las autoridades distritales, con el objetivo de mejorar los aspectos de seguridad en las áreas residenciales. </w:t>
      </w:r>
    </w:p>
    <w:p w14:paraId="66F1CCC9" w14:textId="77777777" w:rsidR="00CE674C" w:rsidRDefault="00622F75">
      <w:pPr>
        <w:spacing w:before="240" w:after="240" w:line="25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Este mecanismo incluirá la colaboración continua entre instituciones como la Policía Metropolitana de Bogotá y la Unidad Administrativa del Cuerpo Oficial de Bomberos, en aras de coordinar esfuerzos, brindar asesoramiento en materia de seguridad y promover la implementación de medidas preventivas y correctivas al interior de las copropiedades. </w:t>
      </w:r>
    </w:p>
    <w:p w14:paraId="654A3154" w14:textId="753B1498" w:rsidR="00CE674C" w:rsidRDefault="00622F75">
      <w:pPr>
        <w:spacing w:before="240" w:after="240" w:line="256"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Artículo 3. Campañas de Difusión. </w:t>
      </w:r>
      <w:r>
        <w:rPr>
          <w:rFonts w:ascii="Times New Roman" w:eastAsia="Times New Roman" w:hAnsi="Times New Roman" w:cs="Times New Roman"/>
          <w:sz w:val="24"/>
          <w:szCs w:val="24"/>
        </w:rPr>
        <w:t>El Instituto para la Participación y la Acción Comunal, en colaboración con la Secretaría Distrital de Seguridad, Convivencia y Justicia, promoverá la conciencia sobre la importancia de la seguridad</w:t>
      </w:r>
      <w:r w:rsidR="00A64A0D">
        <w:rPr>
          <w:rFonts w:ascii="Times New Roman" w:eastAsia="Times New Roman" w:hAnsi="Times New Roman" w:cs="Times New Roman"/>
          <w:sz w:val="24"/>
          <w:szCs w:val="24"/>
        </w:rPr>
        <w:t xml:space="preserve"> en las copropiedades</w:t>
      </w:r>
      <w:r>
        <w:rPr>
          <w:rFonts w:ascii="Times New Roman" w:eastAsia="Times New Roman" w:hAnsi="Times New Roman" w:cs="Times New Roman"/>
          <w:sz w:val="24"/>
          <w:szCs w:val="24"/>
        </w:rPr>
        <w:t>. Para lograrlo, se llevarán a cabo campañas de difusión de información y se implementarán iniciativas específicas dentro de las copropiedades, con el objetivo de sensibilizar a los residentes y fomentar prácticas seguras.</w:t>
      </w:r>
    </w:p>
    <w:p w14:paraId="6A535C73" w14:textId="77777777" w:rsidR="00CE674C" w:rsidRDefault="00622F75">
      <w:pPr>
        <w:spacing w:before="240" w:after="240" w:line="256"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Artículo 4. Diagnóstico de seguridad. </w:t>
      </w:r>
      <w:r>
        <w:rPr>
          <w:rFonts w:ascii="Times New Roman" w:eastAsia="Times New Roman" w:hAnsi="Times New Roman" w:cs="Times New Roman"/>
          <w:sz w:val="24"/>
          <w:szCs w:val="24"/>
        </w:rPr>
        <w:t xml:space="preserve">La administración Distrital fomentará la participación de las autoridades en la revisión y actualización de las políticas de seguridad y en la capacitación de los residentes, con el fin de fortalecer la seguridad y el bienestar en las copropiedades. </w:t>
      </w:r>
    </w:p>
    <w:p w14:paraId="1B0E8810" w14:textId="77777777" w:rsidR="00CE674C" w:rsidRDefault="00622F75">
      <w:pPr>
        <w:spacing w:before="240" w:after="240" w:line="25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Además, la Secretaría Distrital de Seguridad, en colaboración con las Alcaldías locales, realizará un diagnóstico de las medidas de seguridad y capacitación con las que cuentan las copropiedades de propiedad horizontal en el Distrito Capital. </w:t>
      </w:r>
    </w:p>
    <w:p w14:paraId="178690F3" w14:textId="77777777" w:rsidR="00CE674C" w:rsidRDefault="00622F75">
      <w:pPr>
        <w:spacing w:before="240" w:after="240" w:line="256"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Artículo 5. Interoperabilidad de Sistemas de Videovigilancia en Conjuntos Residenciales. </w:t>
      </w:r>
      <w:r>
        <w:rPr>
          <w:rFonts w:ascii="Times New Roman" w:eastAsia="Times New Roman" w:hAnsi="Times New Roman" w:cs="Times New Roman"/>
          <w:sz w:val="24"/>
          <w:szCs w:val="24"/>
        </w:rPr>
        <w:t>La Secretaría de Seguridad, Convivencia y Justicia, en coordinación con el Instituto Distrital de la Participación y Acción Comunal (IDPAC), promoverá la interoperabilidad entre los sistemas de videovigilancia pertenecientes a los conjuntos residenciales sujetos al régimen de propiedad horizontal y el sistema de videovigilancia de la ciudad, administrado por el Centro de Comando, Control, Comunicaciones y Cómputo (C4).</w:t>
      </w:r>
    </w:p>
    <w:p w14:paraId="20738A87" w14:textId="77777777" w:rsidR="00CE674C" w:rsidRDefault="00622F75">
      <w:pPr>
        <w:spacing w:before="240" w:after="240" w:line="25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w:t>
      </w:r>
      <w:r>
        <w:rPr>
          <w:rFonts w:ascii="Times New Roman" w:eastAsia="Times New Roman" w:hAnsi="Times New Roman" w:cs="Times New Roman"/>
          <w:b/>
          <w:sz w:val="24"/>
          <w:szCs w:val="24"/>
        </w:rPr>
        <w:t>rtículo 6. Protocolo de Violencia Intrafamiliar.</w:t>
      </w:r>
      <w:r>
        <w:rPr>
          <w:rFonts w:ascii="Times New Roman" w:eastAsia="Times New Roman" w:hAnsi="Times New Roman" w:cs="Times New Roman"/>
          <w:sz w:val="24"/>
          <w:szCs w:val="24"/>
        </w:rPr>
        <w:t xml:space="preserve"> La Administración Distrital establecerá un protocolo de articulación con las entidades competentes para activar la ruta adecuada en caso de presentarse situaciones de violencia intrafamiliar dentro de las propiedades horizontales del distrito. </w:t>
      </w:r>
    </w:p>
    <w:p w14:paraId="0B962521" w14:textId="77777777" w:rsidR="00CE674C" w:rsidRDefault="00622F75">
      <w:pPr>
        <w:spacing w:before="240" w:after="240" w:line="25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Secretaría de Seguridad, Convivencia y Justicia, en coordinación con la Secretaría Distrital de la Mujer, deberá reglamentar la implementación de los protocolos de atención de violencia intrafamiliar en un plazo no mayor a seis (6) meses a partir de la sanción del presente acuerdo.</w:t>
      </w:r>
    </w:p>
    <w:p w14:paraId="1A1B0C6D" w14:textId="77777777" w:rsidR="00CE674C" w:rsidRDefault="00622F75">
      <w:pPr>
        <w:spacing w:before="240" w:after="240" w:line="256"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Artículo 7: Reglamentación. </w:t>
      </w:r>
      <w:r>
        <w:rPr>
          <w:rFonts w:ascii="Times New Roman" w:eastAsia="Times New Roman" w:hAnsi="Times New Roman" w:cs="Times New Roman"/>
          <w:sz w:val="24"/>
          <w:szCs w:val="24"/>
        </w:rPr>
        <w:t xml:space="preserve">La administración distrital reglamentará el presente acuerdo dentro de los cuatro (6) meses siguientes a su promulgación. </w:t>
      </w:r>
    </w:p>
    <w:p w14:paraId="1AB8763C" w14:textId="77777777" w:rsidR="00CE674C" w:rsidRDefault="00622F75">
      <w:pPr>
        <w:spacing w:before="240" w:after="240" w:line="256"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Artículo 8: Vigencia. </w:t>
      </w:r>
      <w:r>
        <w:rPr>
          <w:rFonts w:ascii="Times New Roman" w:eastAsia="Times New Roman" w:hAnsi="Times New Roman" w:cs="Times New Roman"/>
          <w:sz w:val="24"/>
          <w:szCs w:val="24"/>
        </w:rPr>
        <w:t xml:space="preserve">El presente acuerdo entrará en vigencia a partir de la fecha de su promulgación. </w:t>
      </w:r>
    </w:p>
    <w:p w14:paraId="319C9DF6" w14:textId="77777777" w:rsidR="00CE674C" w:rsidRDefault="00622F75">
      <w:pPr>
        <w:spacing w:before="240" w:after="160" w:line="256"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Publíquese y Cúmplase</w:t>
      </w:r>
    </w:p>
    <w:p w14:paraId="10AACB68" w14:textId="77777777" w:rsidR="00CE674C" w:rsidRDefault="00CE674C">
      <w:pPr>
        <w:spacing w:before="240" w:after="160" w:line="256" w:lineRule="auto"/>
        <w:jc w:val="both"/>
        <w:rPr>
          <w:rFonts w:ascii="Times New Roman" w:eastAsia="Times New Roman" w:hAnsi="Times New Roman" w:cs="Times New Roman"/>
          <w:sz w:val="24"/>
          <w:szCs w:val="24"/>
        </w:rPr>
      </w:pPr>
    </w:p>
    <w:p w14:paraId="2BC71B5C" w14:textId="77777777" w:rsidR="00CE674C" w:rsidRDefault="00CE674C">
      <w:pPr>
        <w:spacing w:before="240" w:after="160" w:line="256" w:lineRule="auto"/>
        <w:jc w:val="both"/>
        <w:rPr>
          <w:rFonts w:ascii="Times New Roman" w:eastAsia="Times New Roman" w:hAnsi="Times New Roman" w:cs="Times New Roman"/>
          <w:sz w:val="24"/>
          <w:szCs w:val="24"/>
        </w:rPr>
      </w:pPr>
    </w:p>
    <w:p w14:paraId="10716560" w14:textId="77777777" w:rsidR="00CE674C" w:rsidRDefault="00CE674C">
      <w:pPr>
        <w:spacing w:after="160" w:line="259" w:lineRule="auto"/>
        <w:jc w:val="both"/>
        <w:rPr>
          <w:rFonts w:ascii="Times New Roman" w:eastAsia="Times New Roman" w:hAnsi="Times New Roman" w:cs="Times New Roman"/>
          <w:b/>
          <w:sz w:val="24"/>
          <w:szCs w:val="24"/>
        </w:rPr>
      </w:pPr>
    </w:p>
    <w:p w14:paraId="694ADC41" w14:textId="77777777" w:rsidR="00CE674C" w:rsidRDefault="00CE674C">
      <w:pPr>
        <w:spacing w:after="160" w:line="259" w:lineRule="auto"/>
        <w:jc w:val="both"/>
        <w:rPr>
          <w:rFonts w:ascii="Times New Roman" w:eastAsia="Times New Roman" w:hAnsi="Times New Roman" w:cs="Times New Roman"/>
          <w:sz w:val="24"/>
          <w:szCs w:val="24"/>
        </w:rPr>
      </w:pPr>
    </w:p>
    <w:sectPr w:rsidR="00CE674C" w:rsidSect="007D15F4">
      <w:headerReference w:type="default" r:id="rId12"/>
      <w:pgSz w:w="11906" w:h="16838"/>
      <w:pgMar w:top="1417" w:right="1701" w:bottom="1417" w:left="1701" w:header="737" w:footer="708"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756427" w14:textId="77777777" w:rsidR="001C1643" w:rsidRDefault="001C1643">
      <w:r>
        <w:separator/>
      </w:r>
    </w:p>
  </w:endnote>
  <w:endnote w:type="continuationSeparator" w:id="0">
    <w:p w14:paraId="15D5635A" w14:textId="77777777" w:rsidR="001C1643" w:rsidRDefault="001C16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embedRegular r:id="rId1" w:fontKey="{CDAC7EA8-F19F-414A-8FE0-C5BC080E5D72}"/>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D149B45C-A4AB-418F-BAFD-B92E2601ED01}"/>
    <w:embedBold r:id="rId3" w:fontKey="{9EFCF9EE-274C-4CA6-92CB-7E86877D6538}"/>
    <w:embedItalic r:id="rId4" w:fontKey="{AAD86FC5-41EA-4D25-BC41-D7760845CB32}"/>
  </w:font>
  <w:font w:name="Georgia">
    <w:panose1 w:val="02040502050405020303"/>
    <w:charset w:val="00"/>
    <w:family w:val="roman"/>
    <w:pitch w:val="variable"/>
    <w:sig w:usb0="00000287" w:usb1="00000000" w:usb2="00000000" w:usb3="00000000" w:csb0="0000009F" w:csb1="00000000"/>
    <w:embedRegular r:id="rId5" w:fontKey="{FF6D73BC-48AB-4DFC-A222-C0F57018DFF1}"/>
    <w:embedItalic r:id="rId6" w:fontKey="{25EE5730-A23A-4AF5-96F2-A5CC13F2AD42}"/>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BB645BA4-8E3E-45C4-A914-43C8C0A2858F}"/>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F99178" w14:textId="77777777" w:rsidR="001C1643" w:rsidRDefault="001C1643">
      <w:r>
        <w:separator/>
      </w:r>
    </w:p>
  </w:footnote>
  <w:footnote w:type="continuationSeparator" w:id="0">
    <w:p w14:paraId="42A19405" w14:textId="77777777" w:rsidR="001C1643" w:rsidRDefault="001C1643">
      <w:r>
        <w:continuationSeparator/>
      </w:r>
    </w:p>
  </w:footnote>
  <w:footnote w:id="1">
    <w:p w14:paraId="03A12BA0" w14:textId="77777777" w:rsidR="00CE674C" w:rsidRDefault="00622F75">
      <w:pPr>
        <w:rPr>
          <w:sz w:val="20"/>
          <w:szCs w:val="20"/>
        </w:rPr>
      </w:pPr>
      <w:r>
        <w:rPr>
          <w:vertAlign w:val="superscript"/>
        </w:rPr>
        <w:footnoteRef/>
      </w:r>
      <w:r>
        <w:rPr>
          <w:sz w:val="20"/>
          <w:szCs w:val="20"/>
        </w:rPr>
        <w:t xml:space="preserve"> </w:t>
      </w:r>
      <w:hyperlink r:id="rId1">
        <w:r>
          <w:rPr>
            <w:color w:val="1155CC"/>
            <w:sz w:val="20"/>
            <w:szCs w:val="20"/>
            <w:u w:val="single"/>
          </w:rPr>
          <w:t xml:space="preserve">1 ANÁLISIS JURÍDICO DE LA PROPIEDAD HORIZONTAL EN COLOMBIA LINA MARGARITA NADER DANIES PONTIFICIA UNIVERSIDAD JAVERIANA </w:t>
        </w:r>
      </w:hyperlink>
    </w:p>
  </w:footnote>
  <w:footnote w:id="2">
    <w:p w14:paraId="5913561E" w14:textId="77777777" w:rsidR="00CE674C" w:rsidRDefault="00622F75">
      <w:pPr>
        <w:rPr>
          <w:sz w:val="20"/>
          <w:szCs w:val="20"/>
        </w:rPr>
      </w:pPr>
      <w:r>
        <w:rPr>
          <w:vertAlign w:val="superscript"/>
        </w:rPr>
        <w:footnoteRef/>
      </w:r>
      <w:r>
        <w:rPr>
          <w:sz w:val="20"/>
          <w:szCs w:val="20"/>
        </w:rPr>
        <w:t xml:space="preserve"> Ibidem </w:t>
      </w:r>
    </w:p>
  </w:footnote>
  <w:footnote w:id="3">
    <w:p w14:paraId="55DB9131" w14:textId="77777777" w:rsidR="00CE674C" w:rsidRDefault="00622F75">
      <w:pPr>
        <w:rPr>
          <w:sz w:val="20"/>
          <w:szCs w:val="20"/>
        </w:rPr>
      </w:pPr>
      <w:r>
        <w:rPr>
          <w:vertAlign w:val="superscript"/>
        </w:rPr>
        <w:footnoteRef/>
      </w:r>
      <w:r>
        <w:rPr>
          <w:sz w:val="20"/>
          <w:szCs w:val="20"/>
        </w:rPr>
        <w:t xml:space="preserve"> </w:t>
      </w:r>
      <w:hyperlink r:id="rId2">
        <w:r>
          <w:rPr>
            <w:color w:val="1155CC"/>
            <w:sz w:val="20"/>
            <w:szCs w:val="20"/>
            <w:u w:val="single"/>
          </w:rPr>
          <w:t>INFORME DE PONENCIA PARA PRIMER DEBATE AL PROYECTO DE LEY No. 397 de 2024 CÁMARA “POR MEDIO DE LA CUAL SE REFORMA LA LEY 675 DE 2001, REFERENTE AL RÉGIMEN DE PROPIEDAD HORIZONTAL EN COLOMBIA Y SE DICTAN OTRAS DISPOSICIONES”.</w:t>
        </w:r>
      </w:hyperlink>
      <w:r>
        <w:rPr>
          <w:sz w:val="20"/>
          <w:szCs w:val="20"/>
        </w:rPr>
        <w:t xml:space="preserve"> </w:t>
      </w:r>
    </w:p>
  </w:footnote>
  <w:footnote w:id="4">
    <w:p w14:paraId="635DEBE6" w14:textId="77777777" w:rsidR="00CE674C" w:rsidRDefault="00622F75">
      <w:pPr>
        <w:rPr>
          <w:i/>
          <w:sz w:val="20"/>
          <w:szCs w:val="20"/>
        </w:rPr>
      </w:pPr>
      <w:r>
        <w:rPr>
          <w:vertAlign w:val="superscript"/>
        </w:rPr>
        <w:footnoteRef/>
      </w:r>
      <w:r>
        <w:rPr>
          <w:sz w:val="20"/>
          <w:szCs w:val="20"/>
        </w:rPr>
        <w:t xml:space="preserve"> </w:t>
      </w:r>
      <w:r>
        <w:rPr>
          <w:i/>
          <w:sz w:val="20"/>
          <w:szCs w:val="20"/>
        </w:rPr>
        <w:t xml:space="preserve">Ibidem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EAD103" w14:textId="77777777" w:rsidR="001A4097" w:rsidRPr="001A4097" w:rsidRDefault="001A4097" w:rsidP="001A4097">
    <w:pPr>
      <w:widowControl w:val="0"/>
      <w:pBdr>
        <w:top w:val="nil"/>
        <w:left w:val="nil"/>
        <w:bottom w:val="nil"/>
        <w:right w:val="nil"/>
        <w:between w:val="nil"/>
      </w:pBdr>
      <w:spacing w:line="276" w:lineRule="auto"/>
      <w:rPr>
        <w:rFonts w:ascii="Arial" w:eastAsia="Arial" w:hAnsi="Arial" w:cs="Arial"/>
        <w:color w:val="000000"/>
        <w:sz w:val="20"/>
        <w:szCs w:val="20"/>
        <w:lang w:val="es-ES"/>
      </w:rPr>
    </w:pPr>
  </w:p>
  <w:tbl>
    <w:tblPr>
      <w:tblW w:w="8830" w:type="dxa"/>
      <w:tblLayout w:type="fixed"/>
      <w:tblLook w:val="0000" w:firstRow="0" w:lastRow="0" w:firstColumn="0" w:lastColumn="0" w:noHBand="0" w:noVBand="0"/>
    </w:tblPr>
    <w:tblGrid>
      <w:gridCol w:w="2361"/>
      <w:gridCol w:w="4235"/>
      <w:gridCol w:w="2234"/>
    </w:tblGrid>
    <w:tr w:rsidR="001A4097" w:rsidRPr="001A4097" w14:paraId="2FF2F13F" w14:textId="77777777" w:rsidTr="003722ED">
      <w:trPr>
        <w:trHeight w:val="454"/>
      </w:trPr>
      <w:tc>
        <w:tcPr>
          <w:tcW w:w="2361" w:type="dxa"/>
          <w:vMerge w:val="restart"/>
          <w:tcBorders>
            <w:top w:val="single" w:sz="4" w:space="0" w:color="000000"/>
            <w:left w:val="single" w:sz="4" w:space="0" w:color="000000"/>
            <w:right w:val="single" w:sz="4" w:space="0" w:color="000000"/>
          </w:tcBorders>
          <w:vAlign w:val="center"/>
        </w:tcPr>
        <w:p w14:paraId="356151D5" w14:textId="571E9543" w:rsidR="001A4097" w:rsidRPr="001A4097" w:rsidRDefault="001A4097" w:rsidP="001A4097">
          <w:pPr>
            <w:jc w:val="center"/>
            <w:rPr>
              <w:rFonts w:ascii="Arial" w:eastAsia="Arial" w:hAnsi="Arial" w:cs="Arial"/>
              <w:color w:val="000000"/>
              <w:sz w:val="16"/>
              <w:szCs w:val="16"/>
              <w:lang w:val="es-ES"/>
            </w:rPr>
          </w:pPr>
          <w:r>
            <w:rPr>
              <w:noProof/>
              <w:lang w:val="es-419" w:eastAsia="es-419"/>
            </w:rPr>
            <w:drawing>
              <wp:anchor distT="0" distB="0" distL="0" distR="0" simplePos="0" relativeHeight="251659264" behindDoc="1" locked="0" layoutInCell="1" hidden="0" allowOverlap="1" wp14:anchorId="4B510DFC" wp14:editId="12E2D1D8">
                <wp:simplePos x="0" y="0"/>
                <wp:positionH relativeFrom="column">
                  <wp:posOffset>204470</wp:posOffset>
                </wp:positionH>
                <wp:positionV relativeFrom="paragraph">
                  <wp:posOffset>89535</wp:posOffset>
                </wp:positionV>
                <wp:extent cx="752475" cy="885825"/>
                <wp:effectExtent l="0" t="0" r="0" b="0"/>
                <wp:wrapNone/>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14:sizeRelH relativeFrom="margin">
                  <wp14:pctWidth>0</wp14:pctWidth>
                </wp14:sizeRelH>
                <wp14:sizeRelV relativeFrom="margin">
                  <wp14:pctHeight>0</wp14:pctHeight>
                </wp14:sizeRelV>
              </wp:anchor>
            </w:drawing>
          </w:r>
        </w:p>
      </w:tc>
      <w:tc>
        <w:tcPr>
          <w:tcW w:w="4235" w:type="dxa"/>
          <w:tcBorders>
            <w:top w:val="single" w:sz="4" w:space="0" w:color="000000"/>
            <w:left w:val="nil"/>
            <w:bottom w:val="single" w:sz="4" w:space="0" w:color="000000"/>
            <w:right w:val="single" w:sz="4" w:space="0" w:color="000000"/>
          </w:tcBorders>
          <w:vAlign w:val="center"/>
        </w:tcPr>
        <w:p w14:paraId="718D336A" w14:textId="77777777" w:rsidR="001A4097" w:rsidRPr="001A4097" w:rsidRDefault="001A4097" w:rsidP="001A4097">
          <w:pPr>
            <w:jc w:val="center"/>
            <w:rPr>
              <w:rFonts w:ascii="Arial" w:eastAsia="Arial" w:hAnsi="Arial" w:cs="Arial"/>
              <w:color w:val="000000"/>
              <w:sz w:val="18"/>
              <w:szCs w:val="18"/>
              <w:lang w:val="es-ES"/>
            </w:rPr>
          </w:pPr>
          <w:r w:rsidRPr="001A4097">
            <w:rPr>
              <w:rFonts w:ascii="Arial" w:eastAsia="Arial" w:hAnsi="Arial" w:cs="Arial"/>
              <w:color w:val="000000"/>
              <w:sz w:val="18"/>
              <w:szCs w:val="18"/>
              <w:lang w:val="es-ES"/>
            </w:rPr>
            <w:t>PROCESO GESTIÓN NORMATIVA</w:t>
          </w:r>
        </w:p>
      </w:tc>
      <w:tc>
        <w:tcPr>
          <w:tcW w:w="2234" w:type="dxa"/>
          <w:tcBorders>
            <w:top w:val="single" w:sz="4" w:space="0" w:color="000000"/>
            <w:left w:val="nil"/>
            <w:bottom w:val="single" w:sz="4" w:space="0" w:color="000000"/>
            <w:right w:val="single" w:sz="4" w:space="0" w:color="000000"/>
          </w:tcBorders>
          <w:vAlign w:val="center"/>
        </w:tcPr>
        <w:p w14:paraId="50FA5DF2" w14:textId="77777777" w:rsidR="001A4097" w:rsidRPr="001A4097" w:rsidRDefault="001A4097" w:rsidP="001A4097">
          <w:pPr>
            <w:rPr>
              <w:rFonts w:ascii="Arial" w:eastAsia="Arial" w:hAnsi="Arial" w:cs="Arial"/>
              <w:color w:val="000000"/>
              <w:sz w:val="16"/>
              <w:szCs w:val="16"/>
              <w:lang w:val="es-ES"/>
            </w:rPr>
          </w:pPr>
          <w:r w:rsidRPr="001A4097">
            <w:rPr>
              <w:rFonts w:ascii="Arial" w:eastAsia="Arial" w:hAnsi="Arial" w:cs="Arial"/>
              <w:color w:val="000000"/>
              <w:sz w:val="16"/>
              <w:szCs w:val="16"/>
              <w:lang w:val="es-ES"/>
            </w:rPr>
            <w:t>CÓDIGO</w:t>
          </w:r>
          <w:r w:rsidRPr="001A4097">
            <w:rPr>
              <w:rFonts w:ascii="Arial" w:eastAsia="Arial" w:hAnsi="Arial" w:cs="Arial"/>
              <w:color w:val="3366FF"/>
              <w:sz w:val="16"/>
              <w:szCs w:val="16"/>
              <w:lang w:val="es-ES"/>
            </w:rPr>
            <w:t xml:space="preserve">: </w:t>
          </w:r>
          <w:r w:rsidRPr="001A4097">
            <w:rPr>
              <w:rFonts w:ascii="Arial" w:eastAsia="Arial" w:hAnsi="Arial" w:cs="Arial"/>
              <w:color w:val="000000"/>
              <w:sz w:val="16"/>
              <w:szCs w:val="16"/>
              <w:lang w:val="es-ES"/>
            </w:rPr>
            <w:t>GNV-FO-001</w:t>
          </w:r>
        </w:p>
      </w:tc>
    </w:tr>
    <w:tr w:rsidR="001A4097" w:rsidRPr="001A4097" w14:paraId="711020EC" w14:textId="77777777" w:rsidTr="003722ED">
      <w:trPr>
        <w:trHeight w:val="454"/>
      </w:trPr>
      <w:tc>
        <w:tcPr>
          <w:tcW w:w="2361" w:type="dxa"/>
          <w:vMerge/>
          <w:tcBorders>
            <w:top w:val="single" w:sz="4" w:space="0" w:color="000000"/>
            <w:left w:val="single" w:sz="4" w:space="0" w:color="000000"/>
            <w:right w:val="single" w:sz="4" w:space="0" w:color="000000"/>
          </w:tcBorders>
          <w:vAlign w:val="center"/>
        </w:tcPr>
        <w:p w14:paraId="161DB9AF" w14:textId="77777777" w:rsidR="001A4097" w:rsidRPr="001A4097" w:rsidRDefault="001A4097" w:rsidP="001A4097">
          <w:pPr>
            <w:widowControl w:val="0"/>
            <w:pBdr>
              <w:top w:val="nil"/>
              <w:left w:val="nil"/>
              <w:bottom w:val="nil"/>
              <w:right w:val="nil"/>
              <w:between w:val="nil"/>
            </w:pBdr>
            <w:spacing w:line="276" w:lineRule="auto"/>
            <w:rPr>
              <w:rFonts w:ascii="Arial" w:eastAsia="Arial" w:hAnsi="Arial" w:cs="Arial"/>
              <w:color w:val="000000"/>
              <w:sz w:val="16"/>
              <w:szCs w:val="16"/>
              <w:lang w:val="es-ES"/>
            </w:rPr>
          </w:pPr>
        </w:p>
      </w:tc>
      <w:tc>
        <w:tcPr>
          <w:tcW w:w="4235" w:type="dxa"/>
          <w:vMerge w:val="restart"/>
          <w:tcBorders>
            <w:top w:val="single" w:sz="4" w:space="0" w:color="000000"/>
            <w:left w:val="nil"/>
            <w:right w:val="single" w:sz="4" w:space="0" w:color="000000"/>
          </w:tcBorders>
          <w:vAlign w:val="center"/>
        </w:tcPr>
        <w:p w14:paraId="0D69201B" w14:textId="77777777" w:rsidR="001A4097" w:rsidRPr="001A4097" w:rsidRDefault="001A4097" w:rsidP="001A4097">
          <w:pPr>
            <w:jc w:val="center"/>
            <w:rPr>
              <w:rFonts w:ascii="Arial" w:eastAsia="Arial" w:hAnsi="Arial" w:cs="Arial"/>
              <w:color w:val="000000"/>
              <w:sz w:val="20"/>
              <w:szCs w:val="20"/>
              <w:lang w:val="es-ES"/>
            </w:rPr>
          </w:pPr>
          <w:r w:rsidRPr="001A4097">
            <w:rPr>
              <w:rFonts w:ascii="Arial" w:eastAsia="Arial" w:hAnsi="Arial" w:cs="Arial"/>
              <w:color w:val="000000"/>
              <w:sz w:val="20"/>
              <w:szCs w:val="20"/>
              <w:lang w:val="es-ES"/>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14:paraId="150161C3" w14:textId="77777777" w:rsidR="001A4097" w:rsidRPr="001A4097" w:rsidRDefault="001A4097" w:rsidP="001A4097">
          <w:pPr>
            <w:rPr>
              <w:rFonts w:ascii="Arial" w:eastAsia="Arial" w:hAnsi="Arial" w:cs="Arial"/>
              <w:color w:val="000000"/>
              <w:sz w:val="16"/>
              <w:szCs w:val="16"/>
              <w:lang w:val="es-ES"/>
            </w:rPr>
          </w:pPr>
          <w:r w:rsidRPr="001A4097">
            <w:rPr>
              <w:rFonts w:ascii="Arial" w:eastAsia="Arial" w:hAnsi="Arial" w:cs="Arial"/>
              <w:color w:val="000000"/>
              <w:sz w:val="16"/>
              <w:szCs w:val="16"/>
              <w:lang w:val="es-ES"/>
            </w:rPr>
            <w:t>VERSIÓN:    02</w:t>
          </w:r>
        </w:p>
      </w:tc>
    </w:tr>
    <w:tr w:rsidR="001A4097" w:rsidRPr="001A4097" w14:paraId="4FF43B48" w14:textId="77777777" w:rsidTr="003722ED">
      <w:trPr>
        <w:trHeight w:val="454"/>
      </w:trPr>
      <w:tc>
        <w:tcPr>
          <w:tcW w:w="2361" w:type="dxa"/>
          <w:vMerge/>
          <w:tcBorders>
            <w:top w:val="single" w:sz="4" w:space="0" w:color="000000"/>
            <w:left w:val="single" w:sz="4" w:space="0" w:color="000000"/>
            <w:right w:val="single" w:sz="4" w:space="0" w:color="000000"/>
          </w:tcBorders>
          <w:vAlign w:val="center"/>
        </w:tcPr>
        <w:p w14:paraId="12CBE896" w14:textId="77777777" w:rsidR="001A4097" w:rsidRPr="001A4097" w:rsidRDefault="001A4097" w:rsidP="001A4097">
          <w:pPr>
            <w:widowControl w:val="0"/>
            <w:pBdr>
              <w:top w:val="nil"/>
              <w:left w:val="nil"/>
              <w:bottom w:val="nil"/>
              <w:right w:val="nil"/>
              <w:between w:val="nil"/>
            </w:pBdr>
            <w:spacing w:line="276" w:lineRule="auto"/>
            <w:rPr>
              <w:rFonts w:ascii="Arial" w:eastAsia="Arial" w:hAnsi="Arial" w:cs="Arial"/>
              <w:color w:val="000000"/>
              <w:sz w:val="16"/>
              <w:szCs w:val="16"/>
              <w:lang w:val="es-ES"/>
            </w:rPr>
          </w:pPr>
        </w:p>
      </w:tc>
      <w:tc>
        <w:tcPr>
          <w:tcW w:w="4235" w:type="dxa"/>
          <w:vMerge/>
          <w:tcBorders>
            <w:top w:val="single" w:sz="4" w:space="0" w:color="000000"/>
            <w:left w:val="nil"/>
            <w:right w:val="single" w:sz="4" w:space="0" w:color="000000"/>
          </w:tcBorders>
          <w:vAlign w:val="center"/>
        </w:tcPr>
        <w:p w14:paraId="33A676DE" w14:textId="77777777" w:rsidR="001A4097" w:rsidRPr="001A4097" w:rsidRDefault="001A4097" w:rsidP="001A4097">
          <w:pPr>
            <w:widowControl w:val="0"/>
            <w:pBdr>
              <w:top w:val="nil"/>
              <w:left w:val="nil"/>
              <w:bottom w:val="nil"/>
              <w:right w:val="nil"/>
              <w:between w:val="nil"/>
            </w:pBdr>
            <w:spacing w:line="276" w:lineRule="auto"/>
            <w:rPr>
              <w:rFonts w:ascii="Arial" w:eastAsia="Arial" w:hAnsi="Arial" w:cs="Arial"/>
              <w:color w:val="000000"/>
              <w:sz w:val="16"/>
              <w:szCs w:val="16"/>
              <w:lang w:val="es-ES"/>
            </w:rPr>
          </w:pPr>
        </w:p>
      </w:tc>
      <w:tc>
        <w:tcPr>
          <w:tcW w:w="2234" w:type="dxa"/>
          <w:tcBorders>
            <w:top w:val="single" w:sz="4" w:space="0" w:color="000000"/>
            <w:left w:val="nil"/>
            <w:bottom w:val="single" w:sz="4" w:space="0" w:color="000000"/>
            <w:right w:val="single" w:sz="4" w:space="0" w:color="000000"/>
          </w:tcBorders>
          <w:vAlign w:val="center"/>
        </w:tcPr>
        <w:p w14:paraId="142AFB37" w14:textId="77777777" w:rsidR="001A4097" w:rsidRPr="001A4097" w:rsidRDefault="001A4097" w:rsidP="001A4097">
          <w:pPr>
            <w:rPr>
              <w:rFonts w:ascii="Arial" w:eastAsia="Arial" w:hAnsi="Arial" w:cs="Arial"/>
              <w:color w:val="000000"/>
              <w:sz w:val="16"/>
              <w:szCs w:val="16"/>
              <w:lang w:val="es-ES"/>
            </w:rPr>
          </w:pPr>
          <w:r w:rsidRPr="001A4097">
            <w:rPr>
              <w:rFonts w:ascii="Arial" w:eastAsia="Arial" w:hAnsi="Arial" w:cs="Arial"/>
              <w:color w:val="000000"/>
              <w:sz w:val="16"/>
              <w:szCs w:val="16"/>
              <w:lang w:val="es-ES"/>
            </w:rPr>
            <w:t>FECHA: 14-Nov-2019</w:t>
          </w:r>
        </w:p>
      </w:tc>
    </w:tr>
  </w:tbl>
  <w:p w14:paraId="5AE27E95" w14:textId="019958A8" w:rsidR="00CE674C" w:rsidRDefault="00CE674C"/>
  <w:p w14:paraId="2A3479CB" w14:textId="77777777" w:rsidR="007D15F4" w:rsidRDefault="007D15F4"/>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3A73DAF"/>
    <w:multiLevelType w:val="multilevel"/>
    <w:tmpl w:val="4DA2903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4FA533CF"/>
    <w:multiLevelType w:val="multilevel"/>
    <w:tmpl w:val="8CCC15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54B3274B"/>
    <w:multiLevelType w:val="multilevel"/>
    <w:tmpl w:val="418AC864"/>
    <w:lvl w:ilvl="0">
      <w:start w:val="1"/>
      <w:numFmt w:val="upperRoman"/>
      <w:lvlText w:val="%1."/>
      <w:lvlJc w:val="left"/>
      <w:pPr>
        <w:ind w:left="720" w:hanging="72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5A27488E"/>
    <w:multiLevelType w:val="multilevel"/>
    <w:tmpl w:val="654EBA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4071D19"/>
    <w:multiLevelType w:val="multilevel"/>
    <w:tmpl w:val="ECC841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4D85C26"/>
    <w:multiLevelType w:val="multilevel"/>
    <w:tmpl w:val="CCD0FE9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78507515"/>
    <w:multiLevelType w:val="multilevel"/>
    <w:tmpl w:val="1290785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abstractNumId w:val="4"/>
  </w:num>
  <w:num w:numId="2">
    <w:abstractNumId w:val="2"/>
  </w:num>
  <w:num w:numId="3">
    <w:abstractNumId w:val="0"/>
  </w:num>
  <w:num w:numId="4">
    <w:abstractNumId w:val="3"/>
  </w:num>
  <w:num w:numId="5">
    <w:abstractNumId w:val="6"/>
  </w:num>
  <w:num w:numId="6">
    <w:abstractNumId w:val="1"/>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674C"/>
    <w:rsid w:val="000C696B"/>
    <w:rsid w:val="001A4097"/>
    <w:rsid w:val="001C1643"/>
    <w:rsid w:val="0031412A"/>
    <w:rsid w:val="00383908"/>
    <w:rsid w:val="00396846"/>
    <w:rsid w:val="003B7A0A"/>
    <w:rsid w:val="005B2C12"/>
    <w:rsid w:val="00622F75"/>
    <w:rsid w:val="007D15F4"/>
    <w:rsid w:val="00814C4F"/>
    <w:rsid w:val="0085495B"/>
    <w:rsid w:val="00A64A0D"/>
    <w:rsid w:val="00C21CFC"/>
    <w:rsid w:val="00CE674C"/>
    <w:rsid w:val="00D11436"/>
    <w:rsid w:val="00DD5D8A"/>
    <w:rsid w:val="00E52015"/>
    <w:rsid w:val="00F139A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5E228B2"/>
  <w15:docId w15:val="{D1C9CB23-50EF-464F-A59F-9ECDB193C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NormalWeb">
    <w:name w:val="Normal (Web)"/>
    <w:basedOn w:val="Normal"/>
    <w:uiPriority w:val="99"/>
    <w:unhideWhenUsed/>
    <w:rsid w:val="001F22CA"/>
    <w:pPr>
      <w:spacing w:before="100" w:beforeAutospacing="1" w:after="100" w:afterAutospacing="1"/>
    </w:pPr>
    <w:rPr>
      <w:rFonts w:ascii="Times New Roman" w:hAnsi="Times New Roman" w:cs="Times New Roman"/>
      <w:sz w:val="24"/>
      <w:szCs w:val="24"/>
    </w:rPr>
  </w:style>
  <w:style w:type="character" w:customStyle="1" w:styleId="apple-converted-space">
    <w:name w:val="apple-converted-space"/>
    <w:basedOn w:val="Fuentedeprrafopredeter"/>
    <w:rsid w:val="001F22CA"/>
  </w:style>
  <w:style w:type="character" w:styleId="Hipervnculo">
    <w:name w:val="Hyperlink"/>
    <w:basedOn w:val="Fuentedeprrafopredeter"/>
    <w:uiPriority w:val="99"/>
    <w:unhideWhenUsed/>
    <w:rsid w:val="001F22CA"/>
    <w:rPr>
      <w:color w:val="0000FF"/>
      <w:u w:val="single"/>
    </w:rPr>
  </w:style>
  <w:style w:type="character" w:styleId="Textoennegrita">
    <w:name w:val="Strong"/>
    <w:basedOn w:val="Fuentedeprrafopredeter"/>
    <w:uiPriority w:val="22"/>
    <w:qFormat/>
    <w:rsid w:val="001F22CA"/>
    <w:rPr>
      <w:b/>
      <w:bCs/>
    </w:rPr>
  </w:style>
  <w:style w:type="paragraph" w:styleId="Prrafodelista">
    <w:name w:val="List Paragraph"/>
    <w:basedOn w:val="Normal"/>
    <w:uiPriority w:val="34"/>
    <w:qFormat/>
    <w:rsid w:val="00755412"/>
    <w:pPr>
      <w:ind w:left="720"/>
      <w:contextualSpacing/>
    </w:pPr>
  </w:style>
  <w:style w:type="paragraph" w:styleId="Textonotapie">
    <w:name w:val="footnote text"/>
    <w:basedOn w:val="Normal"/>
    <w:link w:val="TextonotapieCar"/>
    <w:uiPriority w:val="99"/>
    <w:semiHidden/>
    <w:unhideWhenUsed/>
    <w:rsid w:val="0067471B"/>
    <w:rPr>
      <w:sz w:val="20"/>
      <w:szCs w:val="20"/>
    </w:rPr>
  </w:style>
  <w:style w:type="character" w:customStyle="1" w:styleId="TextonotapieCar">
    <w:name w:val="Texto nota pie Car"/>
    <w:basedOn w:val="Fuentedeprrafopredeter"/>
    <w:link w:val="Textonotapie"/>
    <w:uiPriority w:val="99"/>
    <w:semiHidden/>
    <w:rsid w:val="0067471B"/>
    <w:rPr>
      <w:sz w:val="20"/>
      <w:szCs w:val="20"/>
    </w:rPr>
  </w:style>
  <w:style w:type="character" w:styleId="Refdenotaalpie">
    <w:name w:val="footnote reference"/>
    <w:basedOn w:val="Fuentedeprrafopredeter"/>
    <w:uiPriority w:val="99"/>
    <w:semiHidden/>
    <w:unhideWhenUsed/>
    <w:rsid w:val="0067471B"/>
    <w:rPr>
      <w:vertAlign w:val="superscript"/>
    </w:rPr>
  </w:style>
  <w:style w:type="character" w:customStyle="1" w:styleId="UnresolvedMention">
    <w:name w:val="Unresolved Mention"/>
    <w:basedOn w:val="Fuentedeprrafopredeter"/>
    <w:uiPriority w:val="99"/>
    <w:semiHidden/>
    <w:unhideWhenUsed/>
    <w:rsid w:val="0067471B"/>
    <w:rPr>
      <w:color w:val="605E5C"/>
      <w:shd w:val="clear" w:color="auto" w:fill="E1DFDD"/>
    </w:rPr>
  </w:style>
  <w:style w:type="paragraph" w:customStyle="1" w:styleId="rtejustify">
    <w:name w:val="rtejustify"/>
    <w:basedOn w:val="Normal"/>
    <w:rsid w:val="00B5150A"/>
    <w:pPr>
      <w:spacing w:before="100" w:beforeAutospacing="1" w:after="100" w:afterAutospacing="1"/>
    </w:pPr>
    <w:rPr>
      <w:rFonts w:ascii="Times New Roman" w:eastAsia="Times New Roman" w:hAnsi="Times New Roman" w:cs="Times New Roman"/>
      <w:sz w:val="24"/>
      <w:szCs w:val="24"/>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Encabezado">
    <w:name w:val="header"/>
    <w:basedOn w:val="Normal"/>
    <w:link w:val="EncabezadoCar"/>
    <w:uiPriority w:val="99"/>
    <w:unhideWhenUsed/>
    <w:rsid w:val="001A4097"/>
    <w:pPr>
      <w:tabs>
        <w:tab w:val="center" w:pos="4419"/>
        <w:tab w:val="right" w:pos="8838"/>
      </w:tabs>
    </w:pPr>
  </w:style>
  <w:style w:type="character" w:customStyle="1" w:styleId="EncabezadoCar">
    <w:name w:val="Encabezado Car"/>
    <w:basedOn w:val="Fuentedeprrafopredeter"/>
    <w:link w:val="Encabezado"/>
    <w:uiPriority w:val="99"/>
    <w:rsid w:val="001A4097"/>
  </w:style>
  <w:style w:type="paragraph" w:styleId="Piedepgina">
    <w:name w:val="footer"/>
    <w:basedOn w:val="Normal"/>
    <w:link w:val="PiedepginaCar"/>
    <w:uiPriority w:val="99"/>
    <w:unhideWhenUsed/>
    <w:rsid w:val="001A4097"/>
    <w:pPr>
      <w:tabs>
        <w:tab w:val="center" w:pos="4419"/>
        <w:tab w:val="right" w:pos="8838"/>
      </w:tabs>
    </w:pPr>
  </w:style>
  <w:style w:type="character" w:customStyle="1" w:styleId="PiedepginaCar">
    <w:name w:val="Pie de página Car"/>
    <w:basedOn w:val="Fuentedeprrafopredeter"/>
    <w:link w:val="Piedepgina"/>
    <w:uiPriority w:val="99"/>
    <w:rsid w:val="001A40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2" Type="http://schemas.openxmlformats.org/officeDocument/2006/relationships/hyperlink" Target="https://www.camara.gov.co/sites/default/files/2024-04/Ponencia%20Primer%20Debate%20P.L.%20No.%20397%20de%202024%20C%C3%A1mara%20Propiedad%20Horizontal%20F.docx" TargetMode="External"/><Relationship Id="rId1" Type="http://schemas.openxmlformats.org/officeDocument/2006/relationships/hyperlink" Target="https://repository.javeriana.edu.co/bitstream/handle/10554/55489/Tesis-58.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Gh4uCS5OCKg9tqp/ZDyIOeSETw==">CgMxLjAyCGguZ2pkZ3hzMg5oLmprbHg3ZXJiY280dDINaC4xdDhiOXR3dmN6NzIOaC4ydDUzaDZ2bG15MzI4AHIhMXdqX25TNTEycE5aUkVvYlR0ZFVpVFQxRHZteHp5dWJx</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66F6D18-220B-49AA-A9BC-EA81FE9ED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5249</Words>
  <Characters>28874</Characters>
  <Application>Microsoft Office Word</Application>
  <DocSecurity>0</DocSecurity>
  <Lines>240</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 Uscategui Pastrana</dc:creator>
  <cp:lastModifiedBy>ANA YOLANDA DURAN RODRIGUEZ</cp:lastModifiedBy>
  <cp:revision>2</cp:revision>
  <cp:lastPrinted>2024-09-26T15:48:00Z</cp:lastPrinted>
  <dcterms:created xsi:type="dcterms:W3CDTF">2025-01-28T22:52:00Z</dcterms:created>
  <dcterms:modified xsi:type="dcterms:W3CDTF">2025-01-28T22:52:00Z</dcterms:modified>
</cp:coreProperties>
</file>